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1FB7731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effective for a period of _________. It shall commence on _______ and shall remain in effect through ________.</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w:t>
      </w:r>
      <w:proofErr w:type="gramStart"/>
      <w:r w:rsidRPr="00324151">
        <w:rPr>
          <w:rFonts w:ascii="Arial" w:eastAsia="Times New Roman" w:hAnsi="Arial" w:cs="Arial"/>
          <w:sz w:val="20"/>
          <w:szCs w:val="20"/>
        </w:rPr>
        <w:t>including</w:t>
      </w:r>
      <w:proofErr w:type="gramEnd"/>
      <w:r w:rsidRPr="00324151">
        <w:rPr>
          <w:rFonts w:ascii="Arial" w:eastAsia="Times New Roman" w:hAnsi="Arial" w:cs="Arial"/>
          <w:sz w:val="20"/>
          <w:szCs w:val="20"/>
        </w:rPr>
        <w:t xml:space="preserve">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324151">
      <w:pPr>
        <w:numPr>
          <w:ilvl w:val="0"/>
          <w:numId w:val="5"/>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r>
      <w:proofErr w:type="gramStart"/>
      <w:r w:rsidRPr="00324151">
        <w:rPr>
          <w:rFonts w:ascii="Arial" w:eastAsia="Times New Roman" w:hAnsi="Arial" w:cs="Arial"/>
          <w:bCs/>
          <w:sz w:val="20"/>
          <w:szCs w:val="20"/>
        </w:rPr>
        <w:t>the</w:t>
      </w:r>
      <w:proofErr w:type="gramEnd"/>
      <w:r w:rsidRPr="00324151">
        <w:rPr>
          <w:rFonts w:ascii="Arial" w:eastAsia="Times New Roman" w:hAnsi="Arial" w:cs="Arial"/>
          <w:bCs/>
          <w:sz w:val="20"/>
          <w:szCs w:val="20"/>
        </w:rPr>
        <w:t xml:space="preserve"> Contractor, except for de minimis and nonsystematic violations, has not violated the terms of: </w:t>
      </w:r>
    </w:p>
    <w:p w14:paraId="20581671"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§24-4.7 [Telephone Solicitation Of Consumers];</w:t>
      </w:r>
    </w:p>
    <w:p w14:paraId="6E619F8D"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0" w:name="IC24-5-12"/>
      <w:r w:rsidRPr="00324151">
        <w:rPr>
          <w:rFonts w:ascii="Arial" w:eastAsia="Times New Roman" w:hAnsi="Arial" w:cs="Arial"/>
          <w:sz w:val="20"/>
          <w:szCs w:val="20"/>
        </w:rPr>
        <w:t>Telephone Solicitations</w:t>
      </w:r>
      <w:bookmarkEnd w:id="0"/>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1" w:name="IC24-5-14"/>
      <w:r w:rsidRPr="00324151">
        <w:rPr>
          <w:rFonts w:ascii="Arial" w:eastAsia="Times New Roman" w:hAnsi="Arial" w:cs="Arial"/>
          <w:sz w:val="20"/>
          <w:szCs w:val="20"/>
        </w:rPr>
        <w:t>Regulation of Automatic Dialing Machines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proofErr w:type="gramStart"/>
      <w:r w:rsidRPr="00324151">
        <w:rPr>
          <w:rFonts w:ascii="Arial" w:eastAsia="Times New Roman" w:hAnsi="Arial" w:cs="Arial"/>
          <w:bCs/>
          <w:sz w:val="20"/>
          <w:szCs w:val="20"/>
        </w:rPr>
        <w:t>in</w:t>
      </w:r>
      <w:proofErr w:type="gramEnd"/>
      <w:r w:rsidRPr="00324151">
        <w:rPr>
          <w:rFonts w:ascii="Arial" w:eastAsia="Times New Roman" w:hAnsi="Arial" w:cs="Arial"/>
          <w:bCs/>
          <w:sz w:val="20"/>
          <w:szCs w:val="20"/>
        </w:rPr>
        <w:t xml:space="preserve">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r>
      <w:proofErr w:type="gramStart"/>
      <w:r w:rsidRPr="00324151">
        <w:rPr>
          <w:rFonts w:ascii="Arial" w:eastAsia="Times New Roman" w:hAnsi="Arial" w:cs="Arial"/>
          <w:bCs/>
          <w:sz w:val="20"/>
          <w:szCs w:val="20"/>
        </w:rPr>
        <w:t>the</w:t>
      </w:r>
      <w:proofErr w:type="gramEnd"/>
      <w:r w:rsidRPr="00324151">
        <w:rPr>
          <w:rFonts w:ascii="Arial" w:eastAsia="Times New Roman" w:hAnsi="Arial" w:cs="Arial"/>
          <w:bCs/>
          <w:sz w:val="20"/>
          <w:szCs w:val="20"/>
        </w:rPr>
        <w:t xml:space="preserv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324151">
      <w:pPr>
        <w:numPr>
          <w:ilvl w:val="0"/>
          <w:numId w:val="5"/>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r>
      <w:proofErr w:type="gramStart"/>
      <w:r w:rsidRPr="00324151">
        <w:rPr>
          <w:rFonts w:ascii="Arial" w:eastAsia="Times New Roman" w:hAnsi="Arial" w:cs="Arial"/>
          <w:bCs/>
          <w:sz w:val="20"/>
          <w:szCs w:val="20"/>
        </w:rPr>
        <w:t>has</w:t>
      </w:r>
      <w:proofErr w:type="gramEnd"/>
      <w:r w:rsidRPr="00324151">
        <w:rPr>
          <w:rFonts w:ascii="Arial" w:eastAsia="Times New Roman" w:hAnsi="Arial" w:cs="Arial"/>
          <w:bCs/>
          <w:sz w:val="20"/>
          <w:szCs w:val="20"/>
        </w:rPr>
        <w:t xml:space="preserve">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proofErr w:type="gramStart"/>
      <w:r w:rsidRPr="00324151">
        <w:rPr>
          <w:rFonts w:ascii="Arial" w:eastAsia="Times New Roman" w:hAnsi="Arial" w:cs="Arial"/>
          <w:bCs/>
          <w:sz w:val="20"/>
          <w:szCs w:val="20"/>
        </w:rPr>
        <w:t>will</w:t>
      </w:r>
      <w:proofErr w:type="gramEnd"/>
      <w:r w:rsidRPr="00324151">
        <w:rPr>
          <w:rFonts w:ascii="Arial" w:eastAsia="Times New Roman" w:hAnsi="Arial" w:cs="Arial"/>
          <w:bCs/>
          <w:sz w:val="20"/>
          <w:szCs w:val="20"/>
        </w:rPr>
        <w:t xml:space="preserve">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4E10A2E3"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Terms used, but otherwise not defined in this Contract shall have the same meaning as those found in 45 CFR Parts 160, 162, and 164.</w:t>
      </w:r>
    </w:p>
    <w:p w14:paraId="6F45CFC1"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64401187"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lastRenderedPageBreak/>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08ED4FF9"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Enforcement Rule” as defined in 45 CFR Part 160;</w:t>
      </w:r>
    </w:p>
    <w:p w14:paraId="1321B477"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Security Rule” as defined in 45 CFR Part 164, Subparts A and C;</w:t>
      </w:r>
    </w:p>
    <w:p w14:paraId="0F14E4C4"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Breach Rule” as defined in 45 CFR Part 164, Subparts A and D; and</w:t>
      </w:r>
    </w:p>
    <w:p w14:paraId="2F98FB23"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Privacy Rule” as defined in 45 CFR Part 164, Subparts A and E.</w:t>
      </w:r>
    </w:p>
    <w:p w14:paraId="1AE72F94"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2190DA5"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062D345C" w14:textId="77777777" w:rsidR="00E04386" w:rsidRPr="00275A58" w:rsidRDefault="00E04386" w:rsidP="00324151">
      <w:pPr>
        <w:numPr>
          <w:ilvl w:val="0"/>
          <w:numId w:val="11"/>
        </w:numPr>
        <w:tabs>
          <w:tab w:val="left" w:pos="720"/>
        </w:tabs>
        <w:spacing w:after="0" w:line="240" w:lineRule="auto"/>
        <w:rPr>
          <w:rFonts w:ascii="Arial" w:eastAsia="Times New Roman" w:hAnsi="Arial" w:cs="Arial"/>
          <w:sz w:val="20"/>
          <w:szCs w:val="20"/>
        </w:rPr>
      </w:pPr>
      <w:r w:rsidRPr="00275A58">
        <w:rPr>
          <w:rFonts w:ascii="Arial" w:eastAsia="Times New Roman" w:hAnsi="Arial"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0F3E507E"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64A2A58C"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Administrative safeguards under 45 CFR 164.308;</w:t>
      </w:r>
    </w:p>
    <w:p w14:paraId="4EB5D967"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Physical safeguards under 45 CFR 164.310;</w:t>
      </w:r>
    </w:p>
    <w:p w14:paraId="316233B0"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Technical safeguards under 45 CFR 164.312; and</w:t>
      </w:r>
    </w:p>
    <w:p w14:paraId="1F65B6AA"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Policies and procedures and documentation requirements under 45 CFR 164.316.</w:t>
      </w:r>
    </w:p>
    <w:p w14:paraId="1C1D556D"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Enforcement Rule under which Contractor may be subject to criminal and civil penalties for violations of and non-compliance with the HIPAA Rules.</w:t>
      </w:r>
    </w:p>
    <w:p w14:paraId="2C62FCE2" w14:textId="77777777" w:rsidR="00E04386" w:rsidRPr="00275A58" w:rsidRDefault="00E04386" w:rsidP="00324151">
      <w:pPr>
        <w:numPr>
          <w:ilvl w:val="0"/>
          <w:numId w:val="9"/>
        </w:numPr>
        <w:spacing w:after="0" w:line="240" w:lineRule="auto"/>
        <w:ind w:left="360"/>
        <w:rPr>
          <w:rFonts w:ascii="Arial" w:eastAsia="Times New Roman" w:hAnsi="Arial" w:cs="Arial"/>
          <w:sz w:val="20"/>
          <w:szCs w:val="20"/>
        </w:rPr>
      </w:pPr>
      <w:r w:rsidRPr="00275A58">
        <w:rPr>
          <w:rFonts w:ascii="Arial" w:eastAsia="Times New Roman" w:hAnsi="Arial" w:cs="Arial"/>
          <w:sz w:val="20"/>
          <w:szCs w:val="20"/>
          <w:u w:val="single"/>
        </w:rPr>
        <w:t>Improper Disclosure, Security Incident, and Breach Notification</w:t>
      </w:r>
      <w:r w:rsidRPr="00275A58">
        <w:rPr>
          <w:rFonts w:ascii="Arial" w:eastAsia="Times New Roman" w:hAnsi="Arial" w:cs="Arial"/>
          <w:sz w:val="20"/>
          <w:szCs w:val="20"/>
        </w:rPr>
        <w:t>.</w:t>
      </w:r>
    </w:p>
    <w:p w14:paraId="6C8C2C1C"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Breach Rule.</w:t>
      </w:r>
    </w:p>
    <w:p w14:paraId="58852F59"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087648DF"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If a Security Incident occurs or if Contractor suspects that a Security Incident may have occurred with respect to PHI and/or PII in Contractor’s safekeeping:</w:t>
      </w:r>
    </w:p>
    <w:p w14:paraId="3CD636D4"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 xml:space="preserve">Contractor shall notify the State of the Security Incident within one (1) business day of when Contractor discovered the Security Incident; such notification shall be made to the FSSA Privacy &amp; Security Office in a manner reasonably prescribed by the FSSA Privacy </w:t>
      </w:r>
      <w:r w:rsidRPr="00275A58">
        <w:rPr>
          <w:rFonts w:ascii="Arial" w:eastAsia="Times New Roman" w:hAnsi="Arial" w:cs="Arial"/>
          <w:sz w:val="20"/>
          <w:szCs w:val="20"/>
        </w:rPr>
        <w:lastRenderedPageBreak/>
        <w:t>&amp; Security Officer and shall include as much detail as the Contractor reasonably may be able to acquire within the one (1) business day.</w:t>
      </w:r>
    </w:p>
    <w:p w14:paraId="0102361E"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4CE2BAD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3127C9AA"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5E705D17"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17B02F7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If it is determined by the FSSA Privacy &amp; Security Office that a Breach has occurred:</w:t>
      </w:r>
    </w:p>
    <w:p w14:paraId="5D1AE37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6B944AC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304ACC0"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accepts full responsibility for the Breach and any resulting losses or damages incurred by the State or any victim of the Breach.</w:t>
      </w:r>
    </w:p>
    <w:p w14:paraId="5564051C"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will undertake all commercially reasonable efforts necessary to mitigate any deleterious effects of the Breach for the known and suspected victims of the Breach.</w:t>
      </w:r>
    </w:p>
    <w:p w14:paraId="7924E852"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17F19A3C"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2AB6C0CC"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Subcontractors.</w:t>
      </w:r>
      <w:r w:rsidRPr="00275A58">
        <w:rPr>
          <w:rFonts w:ascii="Arial" w:eastAsia="Times New Roman" w:hAnsi="Arial"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400F1326"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by Individuals to their PHI.</w:t>
      </w:r>
      <w:r w:rsidRPr="00275A58">
        <w:rPr>
          <w:rFonts w:ascii="Arial" w:eastAsia="Times New Roman" w:hAnsi="Arial"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w:t>
      </w:r>
      <w:r w:rsidRPr="00275A58">
        <w:rPr>
          <w:rFonts w:ascii="Arial" w:eastAsia="Times New Roman" w:hAnsi="Arial" w:cs="Arial"/>
          <w:sz w:val="20"/>
          <w:szCs w:val="20"/>
        </w:rPr>
        <w:lastRenderedPageBreak/>
        <w:t>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D5E65C2"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to Records.</w:t>
      </w:r>
      <w:r w:rsidRPr="00275A58">
        <w:rPr>
          <w:rFonts w:ascii="Arial" w:eastAsia="Times New Roman" w:hAnsi="Arial"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49728B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Return of Protected Health Information.</w:t>
      </w:r>
      <w:r w:rsidRPr="00275A58">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4A6C3C3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At the sole discretion of the State, the State may terminate this Contract for Contractor’s material breach of this Section 12.</w:t>
      </w:r>
    </w:p>
    <w:p w14:paraId="354F7DF3"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459F96F0"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Drug and Alcohol Records.</w:t>
      </w:r>
      <w:r w:rsidRPr="00275A58">
        <w:rPr>
          <w:rFonts w:ascii="Arial" w:eastAsia="Times New Roman" w:hAnsi="Arial"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166E4F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Confidentiality of State Information.</w:t>
      </w:r>
      <w:r w:rsidRPr="00275A58">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20FA2FCB" w14:textId="77777777" w:rsidR="00E04386" w:rsidRPr="00275A58" w:rsidRDefault="00E04386" w:rsidP="00324151">
      <w:pPr>
        <w:spacing w:after="0" w:line="240" w:lineRule="auto"/>
        <w:ind w:left="450"/>
        <w:rPr>
          <w:rFonts w:ascii="Arial" w:eastAsia="Times New Roman" w:hAnsi="Arial" w:cs="Arial"/>
          <w:sz w:val="20"/>
          <w:szCs w:val="20"/>
        </w:rPr>
      </w:pPr>
      <w:r w:rsidRPr="00275A58">
        <w:rPr>
          <w:rFonts w:ascii="Arial" w:eastAsia="Times New Roman" w:hAnsi="Arial" w:cs="Arial"/>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3908512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275A58">
        <w:rPr>
          <w:rFonts w:ascii="Arial" w:eastAsia="Times New Roman" w:hAnsi="Arial" w:cs="Arial"/>
          <w:sz w:val="20"/>
          <w:szCs w:val="20"/>
        </w:rPr>
        <w:t>i</w:t>
      </w:r>
      <w:proofErr w:type="spellEnd"/>
      <w:r w:rsidRPr="00275A58">
        <w:rPr>
          <w:rFonts w:ascii="Arial" w:eastAsia="Times New Roman" w:hAnsi="Arial"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7E47FDFA" w14:textId="2109B55A" w:rsidR="006E4F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lastRenderedPageBreak/>
        <w:t xml:space="preserve">Contractor shall adhere to all relevant FSSA Application Security policies located at </w:t>
      </w:r>
      <w:hyperlink r:id="rId8" w:history="1">
        <w:r w:rsidRPr="00275A58">
          <w:rPr>
            <w:rStyle w:val="Hyperlink"/>
            <w:rFonts w:ascii="Arial" w:hAnsi="Arial" w:cs="Arial"/>
            <w:sz w:val="20"/>
            <w:szCs w:val="20"/>
          </w:rPr>
          <w:t>http://in.gov/fssa/4979.htm</w:t>
        </w:r>
      </w:hyperlink>
      <w:r w:rsidRPr="00275A58">
        <w:rPr>
          <w:rStyle w:val="Hyperlink"/>
          <w:rFonts w:ascii="Arial" w:hAnsi="Arial" w:cs="Arial"/>
          <w:sz w:val="20"/>
          <w:szCs w:val="20"/>
        </w:rPr>
        <w:t xml:space="preserve">  </w:t>
      </w:r>
      <w:r w:rsidRPr="00275A58">
        <w:rPr>
          <w:rFonts w:ascii="Arial" w:eastAsia="Times New Roman" w:hAnsi="Arial"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r w:rsidR="006224DD">
        <w:rPr>
          <w:rFonts w:ascii="Arial" w:eastAsia="Times New Roman" w:hAnsi="Arial" w:cs="Arial"/>
          <w:sz w:val="20"/>
          <w:szCs w:val="20"/>
        </w:rPr>
        <w:t xml:space="preserve"> </w:t>
      </w:r>
    </w:p>
    <w:p w14:paraId="7F84B466" w14:textId="77777777" w:rsidR="006224DD" w:rsidRPr="00324151" w:rsidRDefault="006224DD" w:rsidP="00324151">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324151">
      <w:pPr>
        <w:pStyle w:val="ListParagraph"/>
        <w:numPr>
          <w:ilvl w:val="0"/>
          <w:numId w:val="6"/>
        </w:numPr>
        <w:spacing w:after="0" w:line="240" w:lineRule="auto"/>
        <w:rPr>
          <w:rFonts w:ascii="Arial" w:eastAsia="Times New Roman" w:hAnsi="Arial" w:cs="Arial"/>
          <w:sz w:val="20"/>
          <w:szCs w:val="20"/>
        </w:rPr>
      </w:pPr>
      <w:bookmarkStart w:id="2" w:name="_Toc236554569"/>
      <w:r w:rsidRPr="00324151">
        <w:rPr>
          <w:rFonts w:ascii="Arial" w:eastAsia="Times New Roman" w:hAnsi="Arial" w:cs="Arial"/>
          <w:sz w:val="20"/>
          <w:szCs w:val="20"/>
        </w:rPr>
        <w:t>Furnish phase-in training; and</w:t>
      </w:r>
      <w:bookmarkEnd w:id="2"/>
    </w:p>
    <w:p w14:paraId="079AA197" w14:textId="77777777" w:rsidR="006E4F58" w:rsidRPr="00324151" w:rsidRDefault="006E4F58" w:rsidP="00324151">
      <w:pPr>
        <w:pStyle w:val="ListParagraph"/>
        <w:numPr>
          <w:ilvl w:val="0"/>
          <w:numId w:val="6"/>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Exercise its best efforts and cooperation to effect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46577BB6" w14:textId="77777777" w:rsidR="006224DD" w:rsidRPr="00324151" w:rsidRDefault="006224DD" w:rsidP="00324151">
      <w:pPr>
        <w:spacing w:after="0" w:line="240" w:lineRule="auto"/>
        <w:rPr>
          <w:rFonts w:ascii="Arial" w:eastAsia="Times New Roman" w:hAnsi="Arial" w:cs="Arial"/>
          <w:sz w:val="20"/>
          <w:szCs w:val="20"/>
        </w:rPr>
      </w:pPr>
    </w:p>
    <w:p w14:paraId="79524A44" w14:textId="77777777" w:rsidR="006E4F58" w:rsidRDefault="006E4F58" w:rsidP="00324151">
      <w:pPr>
        <w:spacing w:after="0" w:line="240" w:lineRule="auto"/>
        <w:rPr>
          <w:rFonts w:ascii="Arial" w:eastAsia="Times New Roman" w:hAnsi="Arial" w:cs="Arial"/>
          <w:sz w:val="20"/>
          <w:szCs w:val="20"/>
        </w:rPr>
      </w:pPr>
    </w:p>
    <w:p w14:paraId="2334DBD0" w14:textId="77777777" w:rsidR="006224DD" w:rsidRDefault="006224DD" w:rsidP="00324151">
      <w:pPr>
        <w:spacing w:after="0" w:line="240" w:lineRule="auto"/>
        <w:rPr>
          <w:rFonts w:ascii="Arial" w:eastAsia="Times New Roman" w:hAnsi="Arial" w:cs="Arial"/>
          <w:sz w:val="20"/>
          <w:szCs w:val="20"/>
        </w:rPr>
      </w:pPr>
    </w:p>
    <w:p w14:paraId="3DE16D84" w14:textId="77777777" w:rsidR="006224DD" w:rsidRDefault="006224DD" w:rsidP="00324151">
      <w:pPr>
        <w:spacing w:after="0" w:line="240" w:lineRule="auto"/>
        <w:rPr>
          <w:rFonts w:ascii="Arial" w:eastAsia="Times New Roman" w:hAnsi="Arial" w:cs="Arial"/>
          <w:sz w:val="20"/>
          <w:szCs w:val="20"/>
        </w:rPr>
      </w:pP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w:t>
      </w:r>
      <w:r w:rsidRPr="00324151">
        <w:rPr>
          <w:rFonts w:ascii="Arial" w:eastAsia="Times New Roman" w:hAnsi="Arial" w:cs="Arial"/>
          <w:sz w:val="20"/>
          <w:szCs w:val="20"/>
        </w:rPr>
        <w:lastRenderedPageBreak/>
        <w:t>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324151">
      <w:pPr>
        <w:numPr>
          <w:ilvl w:val="0"/>
          <w:numId w:val="3"/>
        </w:numPr>
        <w:tabs>
          <w:tab w:val="left" w:pos="-1440"/>
        </w:tabs>
        <w:spacing w:after="0" w:line="240" w:lineRule="auto"/>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lastRenderedPageBreak/>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24151">
      <w:pPr>
        <w:pStyle w:val="NoSpacing"/>
      </w:pPr>
    </w:p>
    <w:p w14:paraId="4FCCE339" w14:textId="77777777" w:rsidR="00324151" w:rsidRPr="00324151" w:rsidRDefault="00324151" w:rsidP="00324151">
      <w:pPr>
        <w:pStyle w:val="NoSpacing"/>
      </w:pPr>
    </w:p>
    <w:p w14:paraId="4AD1750B" w14:textId="77777777" w:rsidR="005C5F79" w:rsidRPr="00324151" w:rsidRDefault="00657CD7" w:rsidP="00324151">
      <w:pPr>
        <w:spacing w:after="0" w:line="240" w:lineRule="auto"/>
        <w:rPr>
          <w:rFonts w:ascii="Arial" w:hAnsi="Arial" w:cs="Arial"/>
          <w:sz w:val="20"/>
          <w:szCs w:val="20"/>
        </w:rPr>
      </w:pPr>
      <w:r w:rsidRPr="00324151">
        <w:rPr>
          <w:rFonts w:ascii="Arial" w:eastAsia="Times New Roman" w:hAnsi="Arial" w:cs="Arial"/>
          <w:b/>
          <w:szCs w:val="20"/>
        </w:rPr>
        <w:lastRenderedPageBreak/>
        <w:t xml:space="preserve">26. </w:t>
      </w:r>
      <w:r w:rsidRPr="00324151">
        <w:rPr>
          <w:rFonts w:ascii="Arial" w:hAnsi="Arial" w:cs="Arial"/>
          <w:b/>
          <w:bCs/>
          <w:szCs w:val="20"/>
        </w:rPr>
        <w:t>Indiana Veteran Owned Small Business Enterprise Compliance</w:t>
      </w:r>
      <w:r w:rsidRPr="00324151">
        <w:rPr>
          <w:rFonts w:ascii="Arial" w:hAnsi="Arial" w:cs="Arial"/>
          <w:sz w:val="20"/>
          <w:szCs w:val="20"/>
        </w:rPr>
        <w:t xml:space="preserve">.  </w:t>
      </w:r>
    </w:p>
    <w:p w14:paraId="28AEC53B" w14:textId="77777777" w:rsidR="006224DD" w:rsidRDefault="006224DD" w:rsidP="00324151">
      <w:pPr>
        <w:spacing w:after="0" w:line="240" w:lineRule="auto"/>
        <w:rPr>
          <w:rFonts w:ascii="Arial" w:hAnsi="Arial" w:cs="Arial"/>
          <w:sz w:val="20"/>
          <w:szCs w:val="20"/>
        </w:rPr>
      </w:pPr>
    </w:p>
    <w:p w14:paraId="516FB822" w14:textId="6083F525" w:rsidR="00657CD7" w:rsidRPr="00324151" w:rsidRDefault="00657CD7" w:rsidP="00324151">
      <w:pPr>
        <w:spacing w:after="0" w:line="240" w:lineRule="auto"/>
        <w:rPr>
          <w:rFonts w:ascii="Arial" w:hAnsi="Arial" w:cs="Arial"/>
          <w:b/>
          <w:bCs/>
          <w:sz w:val="20"/>
          <w:szCs w:val="20"/>
        </w:rPr>
      </w:pPr>
      <w:r w:rsidRPr="00324151">
        <w:rPr>
          <w:rFonts w:ascii="Arial" w:hAnsi="Arial" w:cs="Arial"/>
          <w:sz w:val="20"/>
          <w:szCs w:val="20"/>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324151">
        <w:rPr>
          <w:rFonts w:ascii="Arial" w:hAnsi="Arial" w:cs="Arial"/>
          <w:b/>
          <w:sz w:val="20"/>
          <w:szCs w:val="20"/>
        </w:rPr>
        <w:t xml:space="preserve"> </w:t>
      </w:r>
      <w:r w:rsidRPr="00324151">
        <w:rPr>
          <w:rFonts w:ascii="Arial" w:hAnsi="Arial" w:cs="Arial"/>
          <w:b/>
          <w:sz w:val="20"/>
          <w:szCs w:val="20"/>
          <w:highlight w:val="yellow"/>
        </w:rPr>
        <w:t>[Add additional IVOSBs using the same format.]</w:t>
      </w:r>
      <w:r w:rsidRPr="00324151">
        <w:rPr>
          <w:rFonts w:ascii="Arial" w:hAnsi="Arial" w:cs="Arial"/>
          <w:sz w:val="20"/>
          <w:szCs w:val="20"/>
        </w:rPr>
        <w:t xml:space="preserve"> </w:t>
      </w:r>
      <w:r w:rsidRPr="00324151">
        <w:rPr>
          <w:rFonts w:ascii="Arial" w:eastAsia="Calibri" w:hAnsi="Arial" w:cs="Arial"/>
          <w:color w:val="000000"/>
          <w:sz w:val="20"/>
          <w:szCs w:val="20"/>
        </w:rPr>
        <w:t xml:space="preserve"> </w:t>
      </w:r>
    </w:p>
    <w:p w14:paraId="0C327D11" w14:textId="77777777" w:rsidR="0017325F" w:rsidRDefault="0017325F" w:rsidP="00324151">
      <w:pPr>
        <w:autoSpaceDE w:val="0"/>
        <w:autoSpaceDN w:val="0"/>
        <w:spacing w:after="0" w:line="240" w:lineRule="auto"/>
        <w:rPr>
          <w:rFonts w:ascii="Arial" w:eastAsia="Calibri" w:hAnsi="Arial" w:cs="Arial"/>
          <w:color w:val="000000"/>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2160"/>
        <w:gridCol w:w="2250"/>
        <w:gridCol w:w="1440"/>
        <w:gridCol w:w="1260"/>
      </w:tblGrid>
      <w:tr w:rsidR="0017325F" w:rsidRPr="00324151" w14:paraId="0843590C" w14:textId="77777777" w:rsidTr="00324151">
        <w:trPr>
          <w:trHeight w:val="485"/>
        </w:trPr>
        <w:tc>
          <w:tcPr>
            <w:tcW w:w="1008" w:type="dxa"/>
            <w:shd w:val="clear" w:color="auto" w:fill="auto"/>
          </w:tcPr>
          <w:p w14:paraId="6153D15A"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IVB</w:t>
            </w:r>
          </w:p>
        </w:tc>
        <w:tc>
          <w:tcPr>
            <w:tcW w:w="1440" w:type="dxa"/>
            <w:shd w:val="clear" w:color="auto" w:fill="auto"/>
          </w:tcPr>
          <w:p w14:paraId="67935763"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PHONE</w:t>
            </w:r>
          </w:p>
        </w:tc>
        <w:tc>
          <w:tcPr>
            <w:tcW w:w="2160" w:type="dxa"/>
            <w:shd w:val="clear" w:color="auto" w:fill="auto"/>
          </w:tcPr>
          <w:p w14:paraId="1A8C6E2C"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COMPANY NAME</w:t>
            </w:r>
          </w:p>
        </w:tc>
        <w:tc>
          <w:tcPr>
            <w:tcW w:w="2250" w:type="dxa"/>
            <w:shd w:val="clear" w:color="auto" w:fill="auto"/>
          </w:tcPr>
          <w:p w14:paraId="186B5578"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SCOPE OF PRODUCTS and/or SERVICES</w:t>
            </w:r>
          </w:p>
        </w:tc>
        <w:tc>
          <w:tcPr>
            <w:tcW w:w="1440" w:type="dxa"/>
            <w:shd w:val="clear" w:color="auto" w:fill="auto"/>
          </w:tcPr>
          <w:p w14:paraId="68BA9B02"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UTILIZATION DATE</w:t>
            </w:r>
          </w:p>
        </w:tc>
        <w:tc>
          <w:tcPr>
            <w:tcW w:w="1260" w:type="dxa"/>
            <w:shd w:val="clear" w:color="auto" w:fill="auto"/>
          </w:tcPr>
          <w:p w14:paraId="59D98154"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PERCENT</w:t>
            </w:r>
          </w:p>
        </w:tc>
      </w:tr>
      <w:tr w:rsidR="0017325F" w:rsidRPr="00324151" w14:paraId="4A61FAE0" w14:textId="77777777" w:rsidTr="00EB48BE">
        <w:tc>
          <w:tcPr>
            <w:tcW w:w="1008" w:type="dxa"/>
            <w:shd w:val="clear" w:color="auto" w:fill="auto"/>
          </w:tcPr>
          <w:p w14:paraId="1ABBD98F"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None</w:t>
            </w:r>
          </w:p>
        </w:tc>
        <w:tc>
          <w:tcPr>
            <w:tcW w:w="1440" w:type="dxa"/>
            <w:shd w:val="clear" w:color="auto" w:fill="auto"/>
          </w:tcPr>
          <w:p w14:paraId="3395FF45" w14:textId="77777777" w:rsidR="0017325F" w:rsidRPr="00324151" w:rsidRDefault="0017325F" w:rsidP="00324151">
            <w:pPr>
              <w:spacing w:after="0" w:line="240" w:lineRule="auto"/>
              <w:rPr>
                <w:rFonts w:ascii="Arial" w:eastAsia="Calibri" w:hAnsi="Arial" w:cs="Arial"/>
                <w:color w:val="000000"/>
                <w:sz w:val="16"/>
                <w:szCs w:val="16"/>
              </w:rPr>
            </w:pPr>
          </w:p>
        </w:tc>
        <w:tc>
          <w:tcPr>
            <w:tcW w:w="2160" w:type="dxa"/>
            <w:shd w:val="clear" w:color="auto" w:fill="auto"/>
          </w:tcPr>
          <w:p w14:paraId="1C6EB603" w14:textId="77777777" w:rsidR="0017325F" w:rsidRPr="00324151" w:rsidRDefault="0017325F" w:rsidP="00324151">
            <w:pPr>
              <w:spacing w:after="0" w:line="240" w:lineRule="auto"/>
              <w:rPr>
                <w:rFonts w:ascii="Arial" w:eastAsia="Calibri" w:hAnsi="Arial" w:cs="Arial"/>
                <w:color w:val="000000"/>
                <w:sz w:val="16"/>
                <w:szCs w:val="16"/>
              </w:rPr>
            </w:pPr>
          </w:p>
        </w:tc>
        <w:tc>
          <w:tcPr>
            <w:tcW w:w="2250" w:type="dxa"/>
            <w:shd w:val="clear" w:color="auto" w:fill="auto"/>
          </w:tcPr>
          <w:p w14:paraId="5E49508D" w14:textId="77777777" w:rsidR="0017325F" w:rsidRPr="00324151" w:rsidRDefault="0017325F" w:rsidP="00324151">
            <w:pPr>
              <w:spacing w:after="0" w:line="240" w:lineRule="auto"/>
              <w:rPr>
                <w:rFonts w:ascii="Arial" w:eastAsia="Calibri" w:hAnsi="Arial" w:cs="Arial"/>
                <w:color w:val="000000"/>
                <w:sz w:val="16"/>
                <w:szCs w:val="16"/>
              </w:rPr>
            </w:pPr>
          </w:p>
        </w:tc>
        <w:tc>
          <w:tcPr>
            <w:tcW w:w="1440" w:type="dxa"/>
            <w:shd w:val="clear" w:color="auto" w:fill="auto"/>
          </w:tcPr>
          <w:p w14:paraId="3DA42BA8" w14:textId="77777777" w:rsidR="0017325F" w:rsidRPr="00324151" w:rsidRDefault="0017325F" w:rsidP="00324151">
            <w:pPr>
              <w:spacing w:after="0" w:line="240" w:lineRule="auto"/>
              <w:rPr>
                <w:rFonts w:ascii="Arial" w:eastAsia="Calibri" w:hAnsi="Arial" w:cs="Arial"/>
                <w:color w:val="000000"/>
                <w:sz w:val="16"/>
                <w:szCs w:val="16"/>
              </w:rPr>
            </w:pPr>
          </w:p>
        </w:tc>
        <w:tc>
          <w:tcPr>
            <w:tcW w:w="1260" w:type="dxa"/>
            <w:shd w:val="clear" w:color="auto" w:fill="auto"/>
          </w:tcPr>
          <w:p w14:paraId="5E2B9E3A"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0.000</w:t>
            </w:r>
          </w:p>
        </w:tc>
      </w:tr>
    </w:tbl>
    <w:p w14:paraId="5C138C70" w14:textId="77777777" w:rsidR="00657CD7" w:rsidRPr="00324151" w:rsidRDefault="00657CD7" w:rsidP="00324151">
      <w:pPr>
        <w:autoSpaceDE w:val="0"/>
        <w:autoSpaceDN w:val="0"/>
        <w:spacing w:after="0" w:line="240" w:lineRule="auto"/>
        <w:rPr>
          <w:rFonts w:ascii="Arial" w:eastAsia="Calibri" w:hAnsi="Arial" w:cs="Arial"/>
          <w:i/>
          <w:color w:val="000000"/>
          <w:sz w:val="20"/>
          <w:szCs w:val="20"/>
        </w:rPr>
      </w:pPr>
    </w:p>
    <w:p w14:paraId="74FF7EF9" w14:textId="0235EA50" w:rsidR="00657CD7" w:rsidRPr="00324151" w:rsidRDefault="00657CD7"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9" w:history="1">
        <w:r w:rsidRPr="00324151">
          <w:rPr>
            <w:rStyle w:val="Hyperlink"/>
            <w:rFonts w:ascii="Arial" w:hAnsi="Arial" w:cs="Arial"/>
            <w:sz w:val="20"/>
            <w:szCs w:val="20"/>
          </w:rPr>
          <w:t>IndianaVeteransPreference@idoa.IN.gov</w:t>
        </w:r>
      </w:hyperlink>
      <w:r w:rsidRPr="00324151">
        <w:rPr>
          <w:rFonts w:ascii="Arial" w:hAnsi="Arial" w:cs="Arial"/>
          <w:sz w:val="20"/>
          <w:szCs w:val="20"/>
        </w:rPr>
        <w:t xml:space="preserve">, or mailed to IDOA, 402 W. Washington Street, Room W-478, </w:t>
      </w:r>
      <w:proofErr w:type="gramStart"/>
      <w:r w:rsidRPr="00324151">
        <w:rPr>
          <w:rFonts w:ascii="Arial" w:hAnsi="Arial" w:cs="Arial"/>
          <w:sz w:val="20"/>
          <w:szCs w:val="20"/>
        </w:rPr>
        <w:t>Indianapolis</w:t>
      </w:r>
      <w:proofErr w:type="gramEnd"/>
      <w:r w:rsidRPr="00324151">
        <w:rPr>
          <w:rFonts w:ascii="Arial" w:hAnsi="Arial" w:cs="Arial"/>
          <w:sz w:val="20"/>
          <w:szCs w:val="20"/>
        </w:rPr>
        <w:t>, IN 46204. Failure to provide a copy of any subcontractor agreement may be deemed a violation of the rules governing IVOSB procurement and may result in sanctions allowable under 25 IAC 9-5-2. Requests for changes must be submitted to</w:t>
      </w:r>
      <w:hyperlink r:id="rId10" w:history="1"/>
      <w:r w:rsidRPr="00324151">
        <w:rPr>
          <w:rStyle w:val="Hyperlink"/>
          <w:rFonts w:ascii="Arial" w:hAnsi="Arial" w:cs="Arial"/>
          <w:sz w:val="20"/>
          <w:szCs w:val="20"/>
        </w:rPr>
        <w:t xml:space="preserve"> </w:t>
      </w:r>
      <w:hyperlink r:id="rId11" w:history="1">
        <w:r w:rsidRPr="00324151">
          <w:rPr>
            <w:rStyle w:val="Hyperlink"/>
            <w:rFonts w:ascii="Arial" w:hAnsi="Arial" w:cs="Arial"/>
            <w:sz w:val="20"/>
            <w:szCs w:val="20"/>
          </w:rPr>
          <w:t>IndianaVeteransPreference@idoa.IN.gov</w:t>
        </w:r>
      </w:hyperlink>
      <w:r w:rsidRPr="00324151">
        <w:rPr>
          <w:rFonts w:ascii="Arial" w:hAnsi="Arial" w:cs="Arial"/>
          <w:sz w:val="20"/>
          <w:szCs w:val="20"/>
        </w:rPr>
        <w:t xml:space="preserve"> for review and approval before changing the participation plan submitted in connection with this Contract. </w:t>
      </w:r>
    </w:p>
    <w:p w14:paraId="08B711F1" w14:textId="77777777" w:rsidR="00657CD7" w:rsidRPr="00324151" w:rsidRDefault="00657CD7" w:rsidP="00324151">
      <w:pPr>
        <w:pStyle w:val="NoSpacing"/>
        <w:jc w:val="both"/>
        <w:rPr>
          <w:rFonts w:ascii="Arial" w:hAnsi="Arial" w:cs="Arial"/>
          <w:sz w:val="20"/>
          <w:szCs w:val="20"/>
        </w:rPr>
      </w:pPr>
    </w:p>
    <w:p w14:paraId="72380B36" w14:textId="77777777" w:rsidR="00657CD7" w:rsidRPr="00324151" w:rsidRDefault="00657CD7"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2"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The Contractor may also be required to report IVOSB certified subcontractor payments directly to the IVOSB Division, as reasonably requested and in the format required by the IVOSB Division.</w:t>
      </w:r>
    </w:p>
    <w:p w14:paraId="6B130D73" w14:textId="77777777" w:rsidR="00657CD7" w:rsidRPr="00324151" w:rsidRDefault="00657CD7" w:rsidP="00324151">
      <w:pPr>
        <w:spacing w:after="0" w:line="240" w:lineRule="auto"/>
        <w:rPr>
          <w:rFonts w:ascii="Arial" w:hAnsi="Arial" w:cs="Arial"/>
          <w:sz w:val="20"/>
          <w:szCs w:val="20"/>
        </w:rPr>
      </w:pPr>
    </w:p>
    <w:p w14:paraId="0A958A94" w14:textId="53D1323D" w:rsidR="0017325F" w:rsidRDefault="00657CD7" w:rsidP="00324151">
      <w:pPr>
        <w:spacing w:after="0" w:line="240" w:lineRule="auto"/>
        <w:rPr>
          <w:rFonts w:ascii="Arial" w:hAnsi="Arial" w:cs="Arial"/>
          <w:sz w:val="20"/>
          <w:szCs w:val="20"/>
        </w:rPr>
      </w:pPr>
      <w:r w:rsidRPr="00324151">
        <w:rPr>
          <w:rFonts w:ascii="Arial" w:hAnsi="Arial" w:cs="Arial"/>
          <w:sz w:val="20"/>
          <w:szCs w:val="20"/>
        </w:rPr>
        <w:t>The Contractor’s failure to comply with the provisions in this clause may be considered a material breach of the Contract.</w:t>
      </w:r>
      <w:r w:rsidR="0017325F">
        <w:rPr>
          <w:rFonts w:ascii="Arial" w:hAnsi="Arial" w:cs="Arial"/>
          <w:sz w:val="20"/>
          <w:szCs w:val="20"/>
        </w:rPr>
        <w:t xml:space="preserve"> </w:t>
      </w:r>
    </w:p>
    <w:p w14:paraId="4FE379A9" w14:textId="77777777" w:rsidR="0017325F" w:rsidRPr="00324151" w:rsidRDefault="0017325F" w:rsidP="00324151">
      <w:pPr>
        <w:spacing w:after="0" w:line="240" w:lineRule="auto"/>
        <w:rPr>
          <w:rFonts w:ascii="Arial" w:hAnsi="Arial" w:cs="Arial"/>
          <w:sz w:val="20"/>
          <w:szCs w:val="20"/>
        </w:rPr>
      </w:pPr>
    </w:p>
    <w:p w14:paraId="7478E907" w14:textId="77777777"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657CD7" w:rsidRPr="00324151">
        <w:rPr>
          <w:rFonts w:ascii="Arial" w:eastAsia="Times New Roman" w:hAnsi="Arial" w:cs="Arial"/>
          <w:b/>
          <w:bCs/>
          <w:szCs w:val="20"/>
        </w:rPr>
        <w:t>7</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5D90B26B" w:rsidR="003E024F" w:rsidRPr="00324151"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3" w:history="1">
        <w:r w:rsidRPr="00324151">
          <w:rPr>
            <w:rStyle w:val="Hyperlink"/>
            <w:rFonts w:ascii="Arial" w:hAnsi="Arial" w:cs="Arial"/>
            <w:sz w:val="20"/>
            <w:szCs w:val="20"/>
          </w:rPr>
          <w:t>https://www.in.gov/iot/2394.htm</w:t>
        </w:r>
      </w:hyperlink>
      <w:r w:rsidRPr="00324151">
        <w:rPr>
          <w:rFonts w:ascii="Arial" w:hAnsi="Arial" w:cs="Arial"/>
          <w:sz w:val="20"/>
          <w:szCs w:val="20"/>
        </w:rPr>
        <w:t>.  The State may terminate this Contract for default if the terms of this paragraph are breached.</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19D975AC"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657CD7" w:rsidRPr="00324151">
        <w:rPr>
          <w:rFonts w:ascii="Arial" w:eastAsia="Times New Roman" w:hAnsi="Arial" w:cs="Arial"/>
          <w:b/>
          <w:snapToGrid w:val="0"/>
          <w:szCs w:val="20"/>
        </w:rPr>
        <w:t>8</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claims of 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2A0CAA76" w14:textId="35A701D8"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lastRenderedPageBreak/>
        <w:t>2.  Automobile</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for</w:t>
      </w:r>
      <w:r w:rsidRPr="00324151">
        <w:rPr>
          <w:rFonts w:ascii="Arial" w:hAnsi="Arial" w:cs="Arial"/>
          <w:spacing w:val="-4"/>
          <w:sz w:val="20"/>
          <w:szCs w:val="20"/>
        </w:rPr>
        <w:t xml:space="preserve"> </w:t>
      </w:r>
      <w:r w:rsidRPr="00324151">
        <w:rPr>
          <w:rFonts w:ascii="Arial" w:hAnsi="Arial" w:cs="Arial"/>
          <w:sz w:val="20"/>
          <w:szCs w:val="20"/>
        </w:rPr>
        <w:t xml:space="preserve">owned, non-owned and </w:t>
      </w:r>
      <w:r w:rsidRPr="00324151">
        <w:rPr>
          <w:rFonts w:ascii="Arial" w:hAnsi="Arial" w:cs="Arial"/>
          <w:spacing w:val="-2"/>
          <w:sz w:val="20"/>
          <w:szCs w:val="20"/>
        </w:rPr>
        <w:t>hired</w:t>
      </w:r>
      <w:r w:rsidRPr="00324151">
        <w:rPr>
          <w:rFonts w:ascii="Arial" w:hAnsi="Arial" w:cs="Arial"/>
          <w:sz w:val="20"/>
          <w:szCs w:val="20"/>
        </w:rPr>
        <w:t xml:space="preserve"> autos with 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 less 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 xml:space="preserve">to </w:t>
      </w:r>
      <w:r w:rsidRPr="00324151">
        <w:rPr>
          <w:rFonts w:ascii="Arial" w:hAnsi="Arial" w:cs="Arial"/>
          <w:spacing w:val="-2"/>
          <w:sz w:val="20"/>
          <w:szCs w:val="20"/>
        </w:rPr>
        <w:t>be</w:t>
      </w:r>
      <w:r w:rsidRPr="00324151">
        <w:rPr>
          <w:rFonts w:ascii="Arial" w:hAnsi="Arial" w:cs="Arial"/>
          <w:sz w:val="20"/>
          <w:szCs w:val="20"/>
        </w:rPr>
        <w:t xml:space="preserve"> named as an additional</w:t>
      </w:r>
      <w:r w:rsidRPr="00324151">
        <w:rPr>
          <w:rFonts w:ascii="Arial" w:hAnsi="Arial" w:cs="Arial"/>
          <w:spacing w:val="41"/>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p>
    <w:p w14:paraId="42F44829" w14:textId="77777777" w:rsidR="00D515C5" w:rsidRPr="00324151" w:rsidRDefault="00D515C5" w:rsidP="00324151">
      <w:pPr>
        <w:pStyle w:val="NoSpacing"/>
        <w:ind w:left="360" w:right="360"/>
        <w:rPr>
          <w:rFonts w:ascii="Arial" w:hAnsi="Arial" w:cs="Arial"/>
          <w:sz w:val="20"/>
          <w:szCs w:val="20"/>
        </w:rPr>
      </w:pPr>
    </w:p>
    <w:p w14:paraId="308117D3" w14:textId="5A93564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3.  Errors and Omissions liability</w:t>
      </w:r>
      <w:r w:rsidRPr="00324151">
        <w:rPr>
          <w:rFonts w:ascii="Arial" w:hAnsi="Arial" w:cs="Arial"/>
          <w:spacing w:val="-6"/>
          <w:sz w:val="20"/>
          <w:szCs w:val="20"/>
        </w:rPr>
        <w:t xml:space="preserve"> </w:t>
      </w:r>
      <w:r w:rsidRPr="00324151">
        <w:rPr>
          <w:rFonts w:ascii="Arial" w:hAnsi="Arial" w:cs="Arial"/>
          <w:sz w:val="20"/>
          <w:szCs w:val="20"/>
        </w:rPr>
        <w:t>with minimum liability</w:t>
      </w:r>
      <w:r w:rsidRPr="00324151">
        <w:rPr>
          <w:rFonts w:ascii="Arial" w:hAnsi="Arial" w:cs="Arial"/>
          <w:spacing w:val="-5"/>
          <w:sz w:val="20"/>
          <w:szCs w:val="20"/>
        </w:rPr>
        <w:t xml:space="preserve"> </w:t>
      </w:r>
      <w:r w:rsidRPr="00324151">
        <w:rPr>
          <w:rFonts w:ascii="Arial" w:hAnsi="Arial" w:cs="Arial"/>
          <w:sz w:val="20"/>
          <w:szCs w:val="20"/>
        </w:rPr>
        <w:t>limits of $1,000,000 per claim and</w:t>
      </w:r>
      <w:r w:rsidRPr="00324151">
        <w:rPr>
          <w:rFonts w:ascii="Arial" w:hAnsi="Arial" w:cs="Arial"/>
          <w:spacing w:val="27"/>
          <w:sz w:val="20"/>
          <w:szCs w:val="20"/>
        </w:rPr>
        <w:t xml:space="preserve"> </w:t>
      </w:r>
      <w:r w:rsidRPr="00324151">
        <w:rPr>
          <w:rFonts w:ascii="Arial" w:hAnsi="Arial" w:cs="Arial"/>
          <w:sz w:val="20"/>
          <w:szCs w:val="20"/>
        </w:rPr>
        <w:t>in the aggregate.  Coverage for</w:t>
      </w:r>
      <w:r w:rsidRPr="00324151">
        <w:rPr>
          <w:rFonts w:ascii="Arial" w:hAnsi="Arial" w:cs="Arial"/>
          <w:spacing w:val="-2"/>
          <w:sz w:val="20"/>
          <w:szCs w:val="20"/>
        </w:rPr>
        <w:t xml:space="preserve"> </w:t>
      </w:r>
      <w:r w:rsidRPr="00324151">
        <w:rPr>
          <w:rFonts w:ascii="Arial" w:hAnsi="Arial" w:cs="Arial"/>
          <w:sz w:val="20"/>
          <w:szCs w:val="20"/>
        </w:rPr>
        <w:t>the benefit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the State</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1"/>
          <w:sz w:val="20"/>
          <w:szCs w:val="20"/>
        </w:rPr>
        <w:t xml:space="preserve"> </w:t>
      </w:r>
      <w:r w:rsidRPr="00324151">
        <w:rPr>
          <w:rFonts w:ascii="Arial" w:hAnsi="Arial" w:cs="Arial"/>
          <w:sz w:val="20"/>
          <w:szCs w:val="20"/>
        </w:rPr>
        <w:t>continue</w:t>
      </w:r>
      <w:r w:rsidRPr="00324151">
        <w:rPr>
          <w:rFonts w:ascii="Arial" w:hAnsi="Arial" w:cs="Arial"/>
          <w:spacing w:val="-2"/>
          <w:sz w:val="20"/>
          <w:szCs w:val="20"/>
        </w:rPr>
        <w:t xml:space="preserve"> </w:t>
      </w:r>
      <w:r w:rsidRPr="00324151">
        <w:rPr>
          <w:rFonts w:ascii="Arial" w:hAnsi="Arial" w:cs="Arial"/>
          <w:sz w:val="20"/>
          <w:szCs w:val="20"/>
        </w:rPr>
        <w:t>for a period</w:t>
      </w:r>
      <w:r w:rsidRPr="00324151">
        <w:rPr>
          <w:rFonts w:ascii="Arial" w:hAnsi="Arial" w:cs="Arial"/>
          <w:spacing w:val="-3"/>
          <w:sz w:val="20"/>
          <w:szCs w:val="20"/>
        </w:rPr>
        <w:t xml:space="preserve"> </w:t>
      </w:r>
      <w:r w:rsidRPr="00324151">
        <w:rPr>
          <w:rFonts w:ascii="Arial" w:hAnsi="Arial" w:cs="Arial"/>
          <w:sz w:val="20"/>
          <w:szCs w:val="20"/>
        </w:rPr>
        <w:t>of two</w:t>
      </w:r>
      <w:r w:rsidRPr="00324151">
        <w:rPr>
          <w:rFonts w:ascii="Arial" w:hAnsi="Arial" w:cs="Arial"/>
          <w:spacing w:val="-3"/>
          <w:sz w:val="20"/>
          <w:szCs w:val="20"/>
        </w:rPr>
        <w:t xml:space="preserve"> </w:t>
      </w:r>
      <w:r w:rsidRPr="00324151">
        <w:rPr>
          <w:rFonts w:ascii="Arial" w:hAnsi="Arial" w:cs="Arial"/>
          <w:sz w:val="20"/>
          <w:szCs w:val="20"/>
        </w:rPr>
        <w:t>(2) years</w:t>
      </w:r>
      <w:r w:rsidRPr="00324151">
        <w:rPr>
          <w:rFonts w:ascii="Arial" w:hAnsi="Arial" w:cs="Arial"/>
          <w:spacing w:val="51"/>
          <w:sz w:val="20"/>
          <w:szCs w:val="20"/>
        </w:rPr>
        <w:t xml:space="preserve"> </w:t>
      </w:r>
      <w:r w:rsidRPr="00324151">
        <w:rPr>
          <w:rFonts w:ascii="Arial" w:hAnsi="Arial" w:cs="Arial"/>
          <w:sz w:val="20"/>
          <w:szCs w:val="20"/>
        </w:rPr>
        <w:t>after</w:t>
      </w:r>
      <w:r w:rsidRPr="00324151">
        <w:rPr>
          <w:rFonts w:ascii="Arial" w:hAnsi="Arial" w:cs="Arial"/>
          <w:spacing w:val="-2"/>
          <w:sz w:val="20"/>
          <w:szCs w:val="20"/>
        </w:rPr>
        <w:t xml:space="preserve"> </w:t>
      </w:r>
      <w:r w:rsidRPr="00324151">
        <w:rPr>
          <w:rFonts w:ascii="Arial" w:hAnsi="Arial" w:cs="Arial"/>
          <w:sz w:val="20"/>
          <w:szCs w:val="20"/>
        </w:rPr>
        <w:t>the date of</w:t>
      </w:r>
      <w:r w:rsidRPr="00324151">
        <w:rPr>
          <w:rFonts w:ascii="Arial" w:hAnsi="Arial" w:cs="Arial"/>
          <w:spacing w:val="-2"/>
          <w:sz w:val="20"/>
          <w:szCs w:val="20"/>
        </w:rPr>
        <w:t xml:space="preserve"> </w:t>
      </w:r>
      <w:r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2CADC4C"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4.  Fiduciary</w:t>
      </w:r>
      <w:r w:rsidRPr="00324151">
        <w:rPr>
          <w:rFonts w:ascii="Arial" w:hAnsi="Arial" w:cs="Arial"/>
          <w:spacing w:val="-3"/>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if the Contractor is responsible for the management</w:t>
      </w:r>
      <w:r w:rsidRPr="00324151">
        <w:rPr>
          <w:rFonts w:ascii="Arial" w:hAnsi="Arial" w:cs="Arial"/>
          <w:spacing w:val="1"/>
          <w:sz w:val="20"/>
          <w:szCs w:val="20"/>
        </w:rPr>
        <w:t xml:space="preserve"> </w:t>
      </w:r>
      <w:r w:rsidRPr="00324151">
        <w:rPr>
          <w:rFonts w:ascii="Arial" w:hAnsi="Arial" w:cs="Arial"/>
          <w:sz w:val="20"/>
          <w:szCs w:val="20"/>
        </w:rPr>
        <w:t>and oversight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53"/>
          <w:sz w:val="20"/>
          <w:szCs w:val="20"/>
        </w:rPr>
        <w:t xml:space="preserve"> </w:t>
      </w:r>
      <w:r w:rsidRPr="00324151">
        <w:rPr>
          <w:rFonts w:ascii="Arial" w:hAnsi="Arial" w:cs="Arial"/>
          <w:sz w:val="20"/>
          <w:szCs w:val="20"/>
        </w:rPr>
        <w:t>various</w:t>
      </w:r>
      <w:r w:rsidRPr="00324151">
        <w:rPr>
          <w:rFonts w:ascii="Arial" w:hAnsi="Arial" w:cs="Arial"/>
          <w:spacing w:val="-2"/>
          <w:sz w:val="20"/>
          <w:szCs w:val="20"/>
        </w:rPr>
        <w:t xml:space="preserve"> </w:t>
      </w:r>
      <w:r w:rsidRPr="00324151">
        <w:rPr>
          <w:rFonts w:ascii="Arial" w:hAnsi="Arial" w:cs="Arial"/>
          <w:sz w:val="20"/>
          <w:szCs w:val="20"/>
        </w:rPr>
        <w:t>employee benefit</w:t>
      </w:r>
      <w:r w:rsidRPr="00324151">
        <w:rPr>
          <w:rFonts w:ascii="Arial" w:hAnsi="Arial" w:cs="Arial"/>
          <w:spacing w:val="-2"/>
          <w:sz w:val="20"/>
          <w:szCs w:val="20"/>
        </w:rPr>
        <w:t xml:space="preserve"> </w:t>
      </w:r>
      <w:r w:rsidRPr="00324151">
        <w:rPr>
          <w:rFonts w:ascii="Arial" w:hAnsi="Arial" w:cs="Arial"/>
          <w:sz w:val="20"/>
          <w:szCs w:val="20"/>
        </w:rPr>
        <w:t>plans and programs such</w:t>
      </w:r>
      <w:r w:rsidRPr="00324151">
        <w:rPr>
          <w:rFonts w:ascii="Arial" w:hAnsi="Arial" w:cs="Arial"/>
          <w:spacing w:val="-2"/>
          <w:sz w:val="20"/>
          <w:szCs w:val="20"/>
        </w:rPr>
        <w:t xml:space="preserve"> </w:t>
      </w:r>
      <w:r w:rsidRPr="00324151">
        <w:rPr>
          <w:rFonts w:ascii="Arial" w:hAnsi="Arial" w:cs="Arial"/>
          <w:sz w:val="20"/>
          <w:szCs w:val="20"/>
        </w:rPr>
        <w:t>as pensions, profit-sharing</w:t>
      </w:r>
      <w:r w:rsidRPr="00324151">
        <w:rPr>
          <w:rFonts w:ascii="Arial" w:hAnsi="Arial" w:cs="Arial"/>
          <w:spacing w:val="-3"/>
          <w:sz w:val="20"/>
          <w:szCs w:val="20"/>
        </w:rPr>
        <w:t xml:space="preserve"> </w:t>
      </w:r>
      <w:r w:rsidRPr="00324151">
        <w:rPr>
          <w:rFonts w:ascii="Arial" w:hAnsi="Arial" w:cs="Arial"/>
          <w:sz w:val="20"/>
          <w:szCs w:val="20"/>
        </w:rPr>
        <w:t>and</w:t>
      </w:r>
      <w:r w:rsidRPr="00324151">
        <w:rPr>
          <w:rFonts w:ascii="Arial" w:hAnsi="Arial" w:cs="Arial"/>
          <w:spacing w:val="-2"/>
          <w:sz w:val="20"/>
          <w:szCs w:val="20"/>
        </w:rPr>
        <w:t xml:space="preserve"> </w:t>
      </w:r>
      <w:r w:rsidRPr="00324151">
        <w:rPr>
          <w:rFonts w:ascii="Arial" w:hAnsi="Arial" w:cs="Arial"/>
          <w:sz w:val="20"/>
          <w:szCs w:val="20"/>
        </w:rPr>
        <w:t>savings, among others with limits no less</w:t>
      </w:r>
      <w:r w:rsidRPr="00324151">
        <w:rPr>
          <w:rFonts w:ascii="Arial" w:hAnsi="Arial" w:cs="Arial"/>
          <w:spacing w:val="-2"/>
          <w:sz w:val="20"/>
          <w:szCs w:val="20"/>
        </w:rPr>
        <w:t xml:space="preserve"> </w:t>
      </w:r>
      <w:r w:rsidRPr="00324151">
        <w:rPr>
          <w:rFonts w:ascii="Arial" w:hAnsi="Arial" w:cs="Arial"/>
          <w:sz w:val="20"/>
          <w:szCs w:val="20"/>
        </w:rPr>
        <w:t>than $700,000</w:t>
      </w:r>
      <w:r w:rsidRPr="00324151">
        <w:rPr>
          <w:rFonts w:ascii="Arial" w:hAnsi="Arial" w:cs="Arial"/>
          <w:spacing w:val="-3"/>
          <w:sz w:val="20"/>
          <w:szCs w:val="20"/>
        </w:rPr>
        <w:t xml:space="preserve"> </w:t>
      </w:r>
      <w:r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5ED327C0" w14:textId="664E4124"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5.  Valuable</w:t>
      </w:r>
      <w:r w:rsidRPr="00324151">
        <w:rPr>
          <w:rFonts w:ascii="Arial" w:hAnsi="Arial" w:cs="Arial"/>
          <w:spacing w:val="-2"/>
          <w:sz w:val="20"/>
          <w:szCs w:val="20"/>
        </w:rPr>
        <w:t xml:space="preserve"> </w:t>
      </w:r>
      <w:r w:rsidRPr="00324151">
        <w:rPr>
          <w:rFonts w:ascii="Arial" w:hAnsi="Arial" w:cs="Arial"/>
          <w:sz w:val="20"/>
          <w:szCs w:val="20"/>
        </w:rPr>
        <w:t>Papers</w:t>
      </w:r>
      <w:r w:rsidRPr="00324151">
        <w:rPr>
          <w:rFonts w:ascii="Arial" w:hAnsi="Arial" w:cs="Arial"/>
          <w:spacing w:val="-2"/>
          <w:sz w:val="20"/>
          <w:szCs w:val="20"/>
        </w:rPr>
        <w:t xml:space="preserve"> </w:t>
      </w:r>
      <w:r w:rsidRPr="00324151">
        <w:rPr>
          <w:rFonts w:ascii="Arial" w:hAnsi="Arial" w:cs="Arial"/>
          <w:sz w:val="20"/>
          <w:szCs w:val="20"/>
        </w:rPr>
        <w:t xml:space="preserve">coverage, </w:t>
      </w:r>
      <w:r w:rsidRPr="00324151">
        <w:rPr>
          <w:rFonts w:ascii="Arial" w:hAnsi="Arial" w:cs="Arial"/>
          <w:spacing w:val="1"/>
          <w:sz w:val="20"/>
          <w:szCs w:val="20"/>
        </w:rPr>
        <w:t xml:space="preserve">if applicable, with </w:t>
      </w:r>
      <w:r w:rsidRPr="00324151">
        <w:rPr>
          <w:rFonts w:ascii="Arial" w:hAnsi="Arial" w:cs="Arial"/>
          <w:sz w:val="20"/>
          <w:szCs w:val="20"/>
        </w:rPr>
        <w:t>an Inland Marine</w:t>
      </w:r>
      <w:r w:rsidRPr="00324151">
        <w:rPr>
          <w:rFonts w:ascii="Arial" w:hAnsi="Arial" w:cs="Arial"/>
          <w:spacing w:val="-2"/>
          <w:sz w:val="20"/>
          <w:szCs w:val="20"/>
        </w:rPr>
        <w:t xml:space="preserve"> </w:t>
      </w:r>
      <w:r w:rsidRPr="00324151">
        <w:rPr>
          <w:rFonts w:ascii="Arial" w:hAnsi="Arial" w:cs="Arial"/>
          <w:sz w:val="20"/>
          <w:szCs w:val="20"/>
        </w:rPr>
        <w:t>Policy</w:t>
      </w:r>
      <w:r w:rsidRPr="00324151">
        <w:rPr>
          <w:rFonts w:ascii="Arial" w:hAnsi="Arial" w:cs="Arial"/>
          <w:spacing w:val="1"/>
          <w:sz w:val="20"/>
          <w:szCs w:val="20"/>
        </w:rPr>
        <w:t xml:space="preserve"> </w:t>
      </w:r>
      <w:r w:rsidRPr="00324151">
        <w:rPr>
          <w:rFonts w:ascii="Arial" w:hAnsi="Arial" w:cs="Arial"/>
          <w:sz w:val="20"/>
          <w:szCs w:val="20"/>
        </w:rPr>
        <w:t>Insurance with limits sufficient</w:t>
      </w:r>
      <w:r w:rsidRPr="00324151">
        <w:rPr>
          <w:rFonts w:ascii="Arial" w:hAnsi="Arial" w:cs="Arial"/>
          <w:spacing w:val="-2"/>
          <w:sz w:val="20"/>
          <w:szCs w:val="20"/>
        </w:rPr>
        <w:t xml:space="preserve"> </w:t>
      </w:r>
      <w:r w:rsidRPr="00324151">
        <w:rPr>
          <w:rFonts w:ascii="Arial" w:hAnsi="Arial" w:cs="Arial"/>
          <w:sz w:val="20"/>
          <w:szCs w:val="20"/>
        </w:rPr>
        <w:t>to pay</w:t>
      </w:r>
      <w:r w:rsidRPr="00324151">
        <w:rPr>
          <w:rFonts w:ascii="Arial" w:hAnsi="Arial" w:cs="Arial"/>
          <w:spacing w:val="-2"/>
          <w:sz w:val="20"/>
          <w:szCs w:val="20"/>
        </w:rPr>
        <w:t xml:space="preserve"> </w:t>
      </w:r>
      <w:r w:rsidRPr="00324151">
        <w:rPr>
          <w:rFonts w:ascii="Arial" w:hAnsi="Arial" w:cs="Arial"/>
          <w:sz w:val="20"/>
          <w:szCs w:val="20"/>
        </w:rPr>
        <w:t>for the re-creation and reconstruction</w:t>
      </w:r>
      <w:r w:rsidRPr="00324151">
        <w:rPr>
          <w:rFonts w:ascii="Arial" w:hAnsi="Arial" w:cs="Arial"/>
          <w:spacing w:val="63"/>
          <w:sz w:val="20"/>
          <w:szCs w:val="20"/>
        </w:rPr>
        <w:t xml:space="preserve"> </w:t>
      </w:r>
      <w:r w:rsidRPr="00324151">
        <w:rPr>
          <w:rFonts w:ascii="Arial" w:hAnsi="Arial" w:cs="Arial"/>
          <w:sz w:val="20"/>
          <w:szCs w:val="20"/>
        </w:rPr>
        <w:t>of such records.</w:t>
      </w:r>
    </w:p>
    <w:p w14:paraId="65A8DEAB" w14:textId="77777777" w:rsidR="00D515C5" w:rsidRPr="00324151" w:rsidRDefault="00D515C5" w:rsidP="00324151">
      <w:pPr>
        <w:pStyle w:val="NoSpacing"/>
        <w:ind w:left="360" w:right="360"/>
        <w:rPr>
          <w:rFonts w:ascii="Arial" w:hAnsi="Arial" w:cs="Arial"/>
          <w:sz w:val="20"/>
          <w:szCs w:val="20"/>
        </w:rPr>
      </w:pPr>
    </w:p>
    <w:p w14:paraId="1A7331DF" w14:textId="5C2E1647"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6.  Surety</w:t>
      </w:r>
      <w:r w:rsidRPr="00324151">
        <w:rPr>
          <w:rFonts w:ascii="Arial" w:hAnsi="Arial" w:cs="Arial"/>
          <w:spacing w:val="-3"/>
          <w:sz w:val="20"/>
          <w:szCs w:val="20"/>
        </w:rPr>
        <w:t xml:space="preserve"> </w:t>
      </w:r>
      <w:r w:rsidRPr="00324151">
        <w:rPr>
          <w:rFonts w:ascii="Arial" w:hAnsi="Arial" w:cs="Arial"/>
          <w:spacing w:val="-2"/>
          <w:sz w:val="20"/>
          <w:szCs w:val="20"/>
        </w:rPr>
        <w:t>or</w:t>
      </w:r>
      <w:r w:rsidRPr="00324151">
        <w:rPr>
          <w:rFonts w:ascii="Arial" w:hAnsi="Arial" w:cs="Arial"/>
          <w:sz w:val="20"/>
          <w:szCs w:val="20"/>
        </w:rPr>
        <w:t xml:space="preserve"> Fidelity</w:t>
      </w:r>
      <w:r w:rsidRPr="00324151">
        <w:rPr>
          <w:rFonts w:ascii="Arial" w:hAnsi="Arial" w:cs="Arial"/>
          <w:spacing w:val="-3"/>
          <w:sz w:val="20"/>
          <w:szCs w:val="20"/>
        </w:rPr>
        <w:t xml:space="preserve"> </w:t>
      </w:r>
      <w:r w:rsidRPr="00324151">
        <w:rPr>
          <w:rFonts w:ascii="Arial" w:hAnsi="Arial" w:cs="Arial"/>
          <w:sz w:val="20"/>
          <w:szCs w:val="20"/>
        </w:rPr>
        <w:t>Bond(s)</w:t>
      </w:r>
      <w:r w:rsidRPr="00324151">
        <w:rPr>
          <w:rFonts w:ascii="Arial" w:hAnsi="Arial" w:cs="Arial"/>
          <w:spacing w:val="1"/>
          <w:sz w:val="20"/>
          <w:szCs w:val="20"/>
        </w:rPr>
        <w:t xml:space="preserve"> </w:t>
      </w:r>
      <w:r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8ED09D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77777777"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657CD7" w:rsidRPr="00324151">
        <w:rPr>
          <w:rFonts w:ascii="Arial" w:eastAsia="Times New Roman" w:hAnsi="Arial" w:cs="Arial"/>
          <w:b/>
          <w:szCs w:val="20"/>
        </w:rPr>
        <w:t>9</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  If both parties have designated that certain individual(s) are essential to the services offered, the parties agree that should such individual(s) leave their employment during the term of this Contract for </w:t>
      </w:r>
      <w:r w:rsidRPr="00324151">
        <w:rPr>
          <w:rFonts w:ascii="Arial" w:eastAsia="Times New Roman" w:hAnsi="Arial" w:cs="Arial"/>
          <w:sz w:val="20"/>
          <w:szCs w:val="20"/>
        </w:rPr>
        <w:lastRenderedPageBreak/>
        <w:t xml:space="preserve">whatever reason, </w:t>
      </w:r>
      <w:proofErr w:type="gramStart"/>
      <w:r w:rsidRPr="00324151">
        <w:rPr>
          <w:rFonts w:ascii="Arial" w:eastAsia="Times New Roman" w:hAnsi="Arial" w:cs="Arial"/>
          <w:sz w:val="20"/>
          <w:szCs w:val="20"/>
        </w:rPr>
        <w:t>the</w:t>
      </w:r>
      <w:proofErr w:type="gramEnd"/>
      <w:r w:rsidRPr="00324151">
        <w:rPr>
          <w:rFonts w:ascii="Arial" w:eastAsia="Times New Roman" w:hAnsi="Arial" w:cs="Arial"/>
          <w:sz w:val="20"/>
          <w:szCs w:val="20"/>
        </w:rPr>
        <w:t xml:space="preserv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3" w:name="_Toc236554570"/>
      <w:r w:rsidRPr="00324151">
        <w:rPr>
          <w:rFonts w:ascii="Arial" w:eastAsia="Times New Roman" w:hAnsi="Arial" w:cs="Arial"/>
          <w:sz w:val="20"/>
          <w:szCs w:val="20"/>
        </w:rPr>
        <w:t>Key person(s) to this Contract is/are _________________________________________</w:t>
      </w:r>
      <w:bookmarkEnd w:id="3"/>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77777777" w:rsidR="005C5F79" w:rsidRPr="00324151" w:rsidRDefault="00657CD7" w:rsidP="00324151">
      <w:pPr>
        <w:spacing w:after="0" w:line="240" w:lineRule="auto"/>
        <w:rPr>
          <w:rFonts w:ascii="Arial" w:eastAsia="Times New Roman" w:hAnsi="Arial" w:cs="Arial"/>
          <w:szCs w:val="20"/>
        </w:rPr>
      </w:pPr>
      <w:r w:rsidRPr="00324151">
        <w:rPr>
          <w:rFonts w:ascii="Arial" w:eastAsia="Times New Roman" w:hAnsi="Arial" w:cs="Arial"/>
          <w:b/>
          <w:szCs w:val="20"/>
        </w:rPr>
        <w:t>30</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1</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248F69D7"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657CD7" w:rsidRPr="00324151">
        <w:rPr>
          <w:rFonts w:ascii="Arial" w:eastAsia="Calibri" w:hAnsi="Arial" w:cs="Arial"/>
          <w:b/>
          <w:bCs/>
          <w:color w:val="000000"/>
          <w:szCs w:val="20"/>
        </w:rPr>
        <w:t>2</w:t>
      </w:r>
      <w:r w:rsidRPr="00324151">
        <w:rPr>
          <w:rFonts w:ascii="Arial" w:eastAsia="Calibri" w:hAnsi="Arial" w:cs="Arial"/>
          <w:b/>
          <w:bCs/>
          <w:color w:val="000000"/>
          <w:szCs w:val="20"/>
        </w:rPr>
        <w:t xml:space="preserve">.  Minority and Women’s Business Enterprises Compliance.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FE0046F" w14:textId="40D0ACB6" w:rsidR="004B543A" w:rsidRPr="00324151" w:rsidRDefault="004B543A" w:rsidP="00324151">
      <w:pPr>
        <w:autoSpaceDE w:val="0"/>
        <w:autoSpaceDN w:val="0"/>
        <w:spacing w:after="0" w:line="240" w:lineRule="auto"/>
        <w:rPr>
          <w:rFonts w:ascii="Arial" w:hAnsi="Arial" w:cs="Arial"/>
          <w:b/>
          <w:bCs/>
          <w:sz w:val="20"/>
          <w:szCs w:val="20"/>
        </w:rPr>
      </w:pPr>
      <w:r w:rsidRPr="00324151">
        <w:rPr>
          <w:rFonts w:ascii="Arial" w:hAnsi="Arial" w:cs="Arial"/>
          <w:bCs/>
          <w:sz w:val="20"/>
          <w:szCs w:val="20"/>
        </w:rPr>
        <w:t xml:space="preserve">Award of this Contract was based, in part, on the Minority and/or Women’s Business Enterprise (“MBE” and/or “WBE”) participation plan as detailed in the Minority and Women’s Business Enterprises Subcontractor Commitment Form, </w:t>
      </w:r>
      <w:r w:rsidR="00D0184B" w:rsidRPr="00324151">
        <w:rPr>
          <w:rFonts w:ascii="Arial" w:hAnsi="Arial" w:cs="Arial"/>
          <w:bCs/>
          <w:sz w:val="20"/>
          <w:szCs w:val="20"/>
        </w:rPr>
        <w:t xml:space="preserve">commonly referred to as “Attachment A” in the procurement documentation and </w:t>
      </w:r>
      <w:r w:rsidRPr="00324151">
        <w:rPr>
          <w:rFonts w:ascii="Arial" w:hAnsi="Arial" w:cs="Arial"/>
          <w:bCs/>
          <w:sz w:val="20"/>
          <w:szCs w:val="20"/>
        </w:rPr>
        <w:t>incorporated by reference herein</w:t>
      </w:r>
      <w:r w:rsidRPr="00324151">
        <w:rPr>
          <w:rFonts w:ascii="Arial" w:hAnsi="Arial" w:cs="Arial"/>
          <w:b/>
          <w:bCs/>
          <w:sz w:val="20"/>
          <w:szCs w:val="20"/>
        </w:rPr>
        <w:t xml:space="preserve">. </w:t>
      </w:r>
      <w:r w:rsidRPr="00324151">
        <w:rPr>
          <w:rFonts w:ascii="Arial" w:hAnsi="Arial" w:cs="Arial"/>
          <w:bCs/>
          <w:sz w:val="20"/>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324151">
        <w:rPr>
          <w:rFonts w:ascii="Arial" w:hAnsi="Arial" w:cs="Arial"/>
          <w:b/>
          <w:bCs/>
          <w:sz w:val="20"/>
          <w:szCs w:val="20"/>
        </w:rPr>
        <w:t xml:space="preserve">  </w:t>
      </w:r>
    </w:p>
    <w:p w14:paraId="1016E6E0" w14:textId="77777777" w:rsidR="004B543A" w:rsidRPr="00324151" w:rsidRDefault="004B543A" w:rsidP="00324151">
      <w:pPr>
        <w:autoSpaceDE w:val="0"/>
        <w:autoSpaceDN w:val="0"/>
        <w:spacing w:after="0" w:line="240" w:lineRule="auto"/>
        <w:rPr>
          <w:rFonts w:ascii="Arial" w:hAnsi="Arial" w:cs="Arial"/>
          <w:b/>
          <w:bCs/>
          <w:sz w:val="20"/>
          <w:szCs w:val="20"/>
        </w:rPr>
      </w:pPr>
    </w:p>
    <w:p w14:paraId="59A3DCF7"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r w:rsidRPr="00324151">
        <w:rPr>
          <w:rFonts w:ascii="Arial" w:hAnsi="Arial" w:cs="Arial"/>
          <w:sz w:val="20"/>
          <w:szCs w:val="20"/>
        </w:rPr>
        <w:t xml:space="preserve">The following MBE/WBE Division (“Division”) certified MBE and/or WBE subcontractors will be participating in this Contract: </w:t>
      </w:r>
      <w:r w:rsidRPr="00324151">
        <w:rPr>
          <w:rFonts w:ascii="Arial" w:hAnsi="Arial" w:cs="Arial"/>
          <w:b/>
          <w:sz w:val="20"/>
          <w:szCs w:val="20"/>
          <w:highlight w:val="yellow"/>
        </w:rPr>
        <w:t>[Add additional MBEs and WBEs using the same format.]</w:t>
      </w:r>
      <w:r w:rsidRPr="00324151">
        <w:rPr>
          <w:rFonts w:ascii="Arial" w:hAnsi="Arial" w:cs="Arial"/>
          <w:sz w:val="20"/>
          <w:szCs w:val="20"/>
        </w:rPr>
        <w:t xml:space="preserve"> </w:t>
      </w:r>
      <w:r w:rsidRPr="00324151">
        <w:rPr>
          <w:rFonts w:ascii="Arial" w:eastAsia="Calibri" w:hAnsi="Arial" w:cs="Arial"/>
          <w:color w:val="000000"/>
          <w:sz w:val="20"/>
          <w:szCs w:val="20"/>
        </w:rPr>
        <w:t xml:space="preserve"> </w:t>
      </w:r>
    </w:p>
    <w:p w14:paraId="7E60D568"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EB48BE" w14:paraId="5E389333" w14:textId="77777777" w:rsidTr="00EB48BE">
        <w:tc>
          <w:tcPr>
            <w:tcW w:w="1098" w:type="dxa"/>
          </w:tcPr>
          <w:p w14:paraId="0616EBA1"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MBE/WBE</w:t>
            </w:r>
          </w:p>
        </w:tc>
        <w:tc>
          <w:tcPr>
            <w:tcW w:w="1620" w:type="dxa"/>
          </w:tcPr>
          <w:p w14:paraId="385A258D"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PHONE</w:t>
            </w:r>
          </w:p>
        </w:tc>
        <w:tc>
          <w:tcPr>
            <w:tcW w:w="2070" w:type="dxa"/>
          </w:tcPr>
          <w:p w14:paraId="755F768C"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COMPANY NAME</w:t>
            </w:r>
          </w:p>
        </w:tc>
        <w:tc>
          <w:tcPr>
            <w:tcW w:w="2250" w:type="dxa"/>
          </w:tcPr>
          <w:p w14:paraId="6A53E160"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SCOPE OF PRODUCTS and/or SERVICES</w:t>
            </w:r>
          </w:p>
        </w:tc>
        <w:tc>
          <w:tcPr>
            <w:tcW w:w="1440" w:type="dxa"/>
          </w:tcPr>
          <w:p w14:paraId="2EFA1E48"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UTILIZATION DATE</w:t>
            </w:r>
          </w:p>
        </w:tc>
        <w:tc>
          <w:tcPr>
            <w:tcW w:w="1098" w:type="dxa"/>
          </w:tcPr>
          <w:p w14:paraId="4C68740A"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PERCENT</w:t>
            </w:r>
          </w:p>
        </w:tc>
      </w:tr>
      <w:tr w:rsidR="00EB48BE" w14:paraId="45FEC5A1" w14:textId="77777777" w:rsidTr="00EB48BE">
        <w:tc>
          <w:tcPr>
            <w:tcW w:w="1098" w:type="dxa"/>
          </w:tcPr>
          <w:p w14:paraId="3B73F720" w14:textId="77777777" w:rsidR="00EB48BE" w:rsidRPr="00324151" w:rsidRDefault="00757882" w:rsidP="00324151">
            <w:pPr>
              <w:rPr>
                <w:rFonts w:ascii="Arial" w:eastAsia="Calibri" w:hAnsi="Arial" w:cs="Arial"/>
                <w:color w:val="000000"/>
                <w:sz w:val="18"/>
                <w:szCs w:val="18"/>
              </w:rPr>
            </w:pPr>
            <w:sdt>
              <w:sdtPr>
                <w:rPr>
                  <w:rFonts w:ascii="Arial" w:hAnsi="Arial" w:cs="Arial"/>
                </w:rPr>
                <w:tag w:val="%%TIER2%%"/>
                <w:id w:val="442814062"/>
              </w:sdtPr>
              <w:sdtEndPr/>
              <w:sdtContent>
                <w:r w:rsidR="00EB48BE" w:rsidRPr="00324151">
                  <w:rPr>
                    <w:rFonts w:ascii="Arial" w:eastAsia="Calibri" w:hAnsi="Arial" w:cs="Arial"/>
                    <w:color w:val="000000"/>
                    <w:sz w:val="18"/>
                    <w:szCs w:val="18"/>
                  </w:rPr>
                  <w:t>None</w:t>
                </w:r>
              </w:sdtContent>
            </w:sdt>
          </w:p>
        </w:tc>
        <w:tc>
          <w:tcPr>
            <w:tcW w:w="1620" w:type="dxa"/>
          </w:tcPr>
          <w:p w14:paraId="6ADC5A2B" w14:textId="77777777" w:rsidR="00EB48BE" w:rsidRPr="00324151" w:rsidRDefault="00757882" w:rsidP="00324151">
            <w:pPr>
              <w:rPr>
                <w:rFonts w:ascii="Arial" w:eastAsia="Calibri" w:hAnsi="Arial" w:cs="Arial"/>
                <w:color w:val="000000"/>
                <w:sz w:val="18"/>
                <w:szCs w:val="18"/>
              </w:rPr>
            </w:pPr>
            <w:sdt>
              <w:sdtPr>
                <w:rPr>
                  <w:rFonts w:ascii="Arial" w:hAnsi="Arial" w:cs="Arial"/>
                </w:rPr>
                <w:tag w:val="%%TIER2_MBE_WBE_PHONE%%"/>
                <w:id w:val="-1018690626"/>
              </w:sdtPr>
              <w:sdtEndPr/>
              <w:sdtContent/>
            </w:sdt>
          </w:p>
        </w:tc>
        <w:tc>
          <w:tcPr>
            <w:tcW w:w="2070" w:type="dxa"/>
          </w:tcPr>
          <w:p w14:paraId="227C11C5" w14:textId="77777777" w:rsidR="00EB48BE" w:rsidRPr="00324151" w:rsidRDefault="00757882" w:rsidP="00324151">
            <w:pPr>
              <w:rPr>
                <w:rFonts w:ascii="Arial" w:eastAsia="Calibri" w:hAnsi="Arial" w:cs="Arial"/>
                <w:color w:val="000000"/>
                <w:sz w:val="18"/>
                <w:szCs w:val="18"/>
              </w:rPr>
            </w:pPr>
            <w:sdt>
              <w:sdtPr>
                <w:rPr>
                  <w:rFonts w:ascii="Arial" w:hAnsi="Arial" w:cs="Arial"/>
                </w:rPr>
                <w:tag w:val="%%BIDDER_NAME%%"/>
                <w:id w:val="-401224573"/>
              </w:sdtPr>
              <w:sdtEndPr/>
              <w:sdtContent/>
            </w:sdt>
          </w:p>
        </w:tc>
        <w:tc>
          <w:tcPr>
            <w:tcW w:w="2250" w:type="dxa"/>
          </w:tcPr>
          <w:p w14:paraId="0CC266A5" w14:textId="77777777" w:rsidR="00EB48BE" w:rsidRPr="00324151" w:rsidRDefault="00757882" w:rsidP="00324151">
            <w:pPr>
              <w:rPr>
                <w:rFonts w:ascii="Arial" w:eastAsia="Calibri" w:hAnsi="Arial" w:cs="Arial"/>
                <w:color w:val="000000"/>
                <w:sz w:val="18"/>
                <w:szCs w:val="18"/>
              </w:rPr>
            </w:pPr>
            <w:sdt>
              <w:sdtPr>
                <w:rPr>
                  <w:rFonts w:ascii="Arial" w:hAnsi="Arial" w:cs="Arial"/>
                </w:rPr>
                <w:tag w:val="%%TIER2_MBE_WBE_SCOPE%%"/>
                <w:id w:val="799737989"/>
              </w:sdtPr>
              <w:sdtEndPr/>
              <w:sdtContent/>
            </w:sdt>
          </w:p>
        </w:tc>
        <w:tc>
          <w:tcPr>
            <w:tcW w:w="1440" w:type="dxa"/>
          </w:tcPr>
          <w:p w14:paraId="18E884A3" w14:textId="77777777" w:rsidR="00EB48BE" w:rsidRPr="00324151" w:rsidRDefault="00757882" w:rsidP="00324151">
            <w:pPr>
              <w:rPr>
                <w:rFonts w:ascii="Arial" w:eastAsia="Calibri" w:hAnsi="Arial" w:cs="Arial"/>
                <w:sz w:val="18"/>
                <w:szCs w:val="18"/>
              </w:rPr>
            </w:pPr>
            <w:sdt>
              <w:sdtPr>
                <w:rPr>
                  <w:rFonts w:ascii="Arial" w:hAnsi="Arial" w:cs="Arial"/>
                </w:rPr>
                <w:tag w:val="%%TIER2_MBE_WBE_UTILIZATION%%"/>
                <w:id w:val="778292361"/>
                <w:showingPlcHdr/>
              </w:sdtPr>
              <w:sdtEndPr/>
              <w:sdtContent>
                <w:r w:rsidR="00EB48BE" w:rsidRPr="00324151">
                  <w:rPr>
                    <w:rFonts w:ascii="Arial" w:hAnsi="Arial" w:cs="Arial"/>
                  </w:rPr>
                  <w:t xml:space="preserve">     </w:t>
                </w:r>
              </w:sdtContent>
            </w:sdt>
          </w:p>
          <w:p w14:paraId="2B3519A3" w14:textId="77777777" w:rsidR="00EB48BE" w:rsidRPr="00324151" w:rsidRDefault="00EB48BE" w:rsidP="00324151">
            <w:pPr>
              <w:rPr>
                <w:rFonts w:ascii="Arial" w:eastAsia="Calibri" w:hAnsi="Arial" w:cs="Arial"/>
                <w:color w:val="000000"/>
                <w:sz w:val="18"/>
                <w:szCs w:val="18"/>
              </w:rPr>
            </w:pPr>
          </w:p>
        </w:tc>
        <w:tc>
          <w:tcPr>
            <w:tcW w:w="1098" w:type="dxa"/>
          </w:tcPr>
          <w:p w14:paraId="2F255370" w14:textId="77777777" w:rsidR="00EB48BE" w:rsidRPr="00324151" w:rsidRDefault="00757882" w:rsidP="00324151">
            <w:pPr>
              <w:rPr>
                <w:rFonts w:ascii="Arial" w:eastAsia="Calibri" w:hAnsi="Arial" w:cs="Arial"/>
                <w:color w:val="000000"/>
                <w:sz w:val="18"/>
                <w:szCs w:val="18"/>
              </w:rPr>
            </w:pPr>
            <w:sdt>
              <w:sdtPr>
                <w:rPr>
                  <w:rFonts w:ascii="Arial" w:hAnsi="Arial" w:cs="Arial"/>
                </w:rPr>
                <w:tag w:val="%%TIER2_PERCENTAGE%%"/>
                <w:id w:val="3489213"/>
              </w:sdtPr>
              <w:sdtEndPr/>
              <w:sdtContent>
                <w:r w:rsidR="00EB48BE" w:rsidRPr="00324151">
                  <w:rPr>
                    <w:rFonts w:ascii="Arial" w:eastAsia="Calibri" w:hAnsi="Arial" w:cs="Arial"/>
                    <w:color w:val="000000"/>
                    <w:sz w:val="18"/>
                    <w:szCs w:val="18"/>
                  </w:rPr>
                  <w:t>0.000</w:t>
                </w:r>
              </w:sdtContent>
            </w:sdt>
          </w:p>
        </w:tc>
      </w:tr>
    </w:tbl>
    <w:p w14:paraId="52B4EDAF" w14:textId="77777777" w:rsidR="004B543A" w:rsidRPr="00324151" w:rsidRDefault="004B543A" w:rsidP="00324151">
      <w:pPr>
        <w:autoSpaceDE w:val="0"/>
        <w:autoSpaceDN w:val="0"/>
        <w:spacing w:after="0" w:line="240" w:lineRule="auto"/>
        <w:rPr>
          <w:rFonts w:ascii="Arial" w:eastAsia="Calibri" w:hAnsi="Arial" w:cs="Arial"/>
          <w:i/>
          <w:color w:val="000000"/>
          <w:sz w:val="20"/>
          <w:szCs w:val="20"/>
        </w:rPr>
      </w:pPr>
    </w:p>
    <w:p w14:paraId="020F4764" w14:textId="77777777" w:rsidR="004B543A" w:rsidRPr="00324151" w:rsidRDefault="004B543A"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4"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5"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for review and approval before changing the participation plan submitted in connection with this Contract. </w:t>
      </w:r>
    </w:p>
    <w:p w14:paraId="1F3281A0" w14:textId="77777777" w:rsidR="004B543A" w:rsidRPr="00324151" w:rsidRDefault="004B543A" w:rsidP="00324151">
      <w:pPr>
        <w:pStyle w:val="NoSpacing"/>
        <w:jc w:val="both"/>
        <w:rPr>
          <w:rFonts w:ascii="Arial" w:hAnsi="Arial" w:cs="Arial"/>
          <w:sz w:val="20"/>
          <w:szCs w:val="20"/>
        </w:rPr>
      </w:pPr>
    </w:p>
    <w:p w14:paraId="6FA396BD" w14:textId="29AD3DA1" w:rsidR="004B543A" w:rsidRPr="00324151" w:rsidRDefault="004B543A"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Division certified subcontractors under this Contract on a monthly basis using Pay Audit. The Contractor shall notify subcontractors that they must confirm payments received from </w:t>
      </w:r>
      <w:r w:rsidR="00094DA4" w:rsidRPr="00324151">
        <w:rPr>
          <w:rFonts w:ascii="Arial" w:hAnsi="Arial" w:cs="Arial"/>
          <w:sz w:val="20"/>
          <w:szCs w:val="20"/>
        </w:rPr>
        <w:t xml:space="preserve">the </w:t>
      </w:r>
      <w:r w:rsidRPr="00324151">
        <w:rPr>
          <w:rFonts w:ascii="Arial" w:hAnsi="Arial" w:cs="Arial"/>
          <w:sz w:val="20"/>
          <w:szCs w:val="20"/>
        </w:rPr>
        <w:t xml:space="preserve">Contractor in Pay Audit. The Pay Audit system can be accessed on the IDOA webpage at: </w:t>
      </w:r>
      <w:hyperlink r:id="rId16"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w:t>
      </w:r>
      <w:r w:rsidR="00094DA4" w:rsidRPr="00324151">
        <w:rPr>
          <w:rFonts w:ascii="Arial" w:hAnsi="Arial" w:cs="Arial"/>
          <w:sz w:val="20"/>
          <w:szCs w:val="20"/>
        </w:rPr>
        <w:t xml:space="preserve">The </w:t>
      </w:r>
      <w:r w:rsidRPr="00324151">
        <w:rPr>
          <w:rFonts w:ascii="Arial" w:hAnsi="Arial" w:cs="Arial"/>
          <w:sz w:val="20"/>
          <w:szCs w:val="20"/>
        </w:rPr>
        <w:t>Contractor may also be required to report Division certified subcontractor payments directly to the Division, as reasonably requested and in the format required by the Division.</w:t>
      </w:r>
    </w:p>
    <w:p w14:paraId="71DAC9AB" w14:textId="77777777" w:rsidR="004B543A" w:rsidRPr="00324151" w:rsidRDefault="004B543A" w:rsidP="00324151">
      <w:pPr>
        <w:spacing w:after="0" w:line="240" w:lineRule="auto"/>
        <w:rPr>
          <w:rFonts w:ascii="Arial" w:hAnsi="Arial" w:cs="Arial"/>
          <w:sz w:val="20"/>
          <w:szCs w:val="20"/>
        </w:rPr>
      </w:pPr>
    </w:p>
    <w:p w14:paraId="71778C72" w14:textId="3493CE63" w:rsidR="004B543A" w:rsidRDefault="00094DA4" w:rsidP="00324151">
      <w:pPr>
        <w:spacing w:after="0" w:line="240" w:lineRule="auto"/>
        <w:rPr>
          <w:rFonts w:ascii="Arial" w:hAnsi="Arial" w:cs="Arial"/>
          <w:sz w:val="20"/>
          <w:szCs w:val="20"/>
        </w:rPr>
      </w:pPr>
      <w:r w:rsidRPr="00324151">
        <w:rPr>
          <w:rFonts w:ascii="Arial" w:hAnsi="Arial" w:cs="Arial"/>
          <w:sz w:val="20"/>
          <w:szCs w:val="20"/>
        </w:rPr>
        <w:t xml:space="preserve">The </w:t>
      </w:r>
      <w:r w:rsidR="004B543A" w:rsidRPr="00324151">
        <w:rPr>
          <w:rFonts w:ascii="Arial" w:hAnsi="Arial" w:cs="Arial"/>
          <w:sz w:val="20"/>
          <w:szCs w:val="20"/>
        </w:rPr>
        <w:t>Contractor’s failure to comply with the provisions in this clause may be considered a material breach of the Contract.</w:t>
      </w:r>
    </w:p>
    <w:p w14:paraId="3420C007" w14:textId="77777777" w:rsidR="006224DD" w:rsidRPr="00324151" w:rsidRDefault="006224DD" w:rsidP="00324151">
      <w:pPr>
        <w:spacing w:after="0" w:line="240" w:lineRule="auto"/>
        <w:rPr>
          <w:rFonts w:ascii="Arial" w:hAnsi="Arial" w:cs="Arial"/>
          <w:sz w:val="20"/>
          <w:szCs w:val="20"/>
        </w:rPr>
      </w:pPr>
    </w:p>
    <w:p w14:paraId="60B1888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3</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4</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r w:rsidRPr="00324151">
        <w:rPr>
          <w:rFonts w:ascii="Arial" w:eastAsia="Times New Roman" w:hAnsi="Arial" w:cs="Arial"/>
          <w:sz w:val="20"/>
          <w:szCs w:val="20"/>
        </w:rPr>
        <w:t>first class</w:t>
      </w:r>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5C4CC3A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07FA05C8" w14:textId="77777777" w:rsidR="006E4F58" w:rsidRDefault="006E4F58" w:rsidP="00324151">
      <w:pPr>
        <w:spacing w:after="0" w:line="240" w:lineRule="auto"/>
        <w:rPr>
          <w:rFonts w:ascii="Arial" w:eastAsia="Times New Roman" w:hAnsi="Arial" w:cs="Arial"/>
          <w:sz w:val="20"/>
          <w:szCs w:val="20"/>
        </w:rPr>
      </w:pP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3</w:t>
      </w:r>
      <w:r w:rsidR="00657CD7" w:rsidRPr="00324151">
        <w:rPr>
          <w:rFonts w:ascii="Arial" w:eastAsia="Times New Roman" w:hAnsi="Arial" w:cs="Arial"/>
          <w:b/>
          <w:szCs w:val="20"/>
        </w:rPr>
        <w:t>5</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78DC52D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Any inconsistency or ambiguity in this Contract shall be resolved by giving precedence in the following order: (1) this Contract, (2) attachments prepared by the State, (3)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#_____, (4) Contractor’s response to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#_____, and (5) attachments prepared by the Contractor. All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0182D964"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657CD7" w:rsidRPr="00324151">
        <w:rPr>
          <w:rFonts w:ascii="Arial" w:hAnsi="Arial" w:cs="Arial"/>
          <w:b/>
          <w:szCs w:val="20"/>
        </w:rPr>
        <w:t>6</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13DA7ED0"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7</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C.  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 xml:space="preserve">or claims submitted without supportive documentation will be returned to the </w:t>
      </w:r>
      <w:r w:rsidRPr="00E84007">
        <w:rPr>
          <w:rFonts w:ascii="Arial" w:eastAsia="Times New Roman" w:hAnsi="Arial" w:cs="Arial"/>
          <w:sz w:val="20"/>
          <w:szCs w:val="20"/>
        </w:rPr>
        <w:lastRenderedPageBreak/>
        <w:t>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successfully perform or execute the 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8</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9</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77777777" w:rsidR="005C5F79" w:rsidRPr="00324151" w:rsidRDefault="00657CD7" w:rsidP="00324151">
      <w:pPr>
        <w:pStyle w:val="NoSpacing"/>
        <w:rPr>
          <w:rFonts w:ascii="Arial" w:eastAsia="Times New Roman" w:hAnsi="Arial" w:cs="Arial"/>
          <w:szCs w:val="20"/>
        </w:rPr>
      </w:pPr>
      <w:r w:rsidRPr="00324151">
        <w:rPr>
          <w:rFonts w:ascii="Arial" w:eastAsia="Times New Roman" w:hAnsi="Arial" w:cs="Arial"/>
          <w:b/>
          <w:szCs w:val="20"/>
        </w:rPr>
        <w:t>40</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77777777"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1</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2</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6C9133F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3</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4</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49B9FD01" w14:textId="6FA410B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p>
    <w:p w14:paraId="7F2BE60D" w14:textId="77777777" w:rsidR="006E4F58" w:rsidRDefault="006E4F58" w:rsidP="00324151">
      <w:pPr>
        <w:spacing w:after="0" w:line="240" w:lineRule="auto"/>
        <w:rPr>
          <w:rFonts w:ascii="Arial" w:eastAsia="Times New Roman" w:hAnsi="Arial" w:cs="Arial"/>
          <w:sz w:val="20"/>
          <w:szCs w:val="20"/>
        </w:rPr>
      </w:pPr>
    </w:p>
    <w:p w14:paraId="518CFBE1" w14:textId="77777777" w:rsidR="006224DD" w:rsidRDefault="006224DD" w:rsidP="00324151">
      <w:pPr>
        <w:spacing w:after="0" w:line="240" w:lineRule="auto"/>
        <w:rPr>
          <w:rFonts w:ascii="Arial" w:eastAsia="Times New Roman" w:hAnsi="Arial" w:cs="Arial"/>
          <w:sz w:val="20"/>
          <w:szCs w:val="20"/>
        </w:rPr>
      </w:pPr>
    </w:p>
    <w:p w14:paraId="28A7C7D9" w14:textId="77777777" w:rsidR="006224DD" w:rsidRPr="00324151" w:rsidRDefault="006224DD" w:rsidP="00324151">
      <w:pPr>
        <w:spacing w:after="0" w:line="240" w:lineRule="auto"/>
        <w:rPr>
          <w:rFonts w:ascii="Arial" w:eastAsia="Times New Roman" w:hAnsi="Arial" w:cs="Arial"/>
          <w:sz w:val="20"/>
          <w:szCs w:val="20"/>
        </w:rPr>
      </w:pPr>
    </w:p>
    <w:p w14:paraId="47AA92E5" w14:textId="04215096"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4</w:t>
      </w:r>
      <w:r w:rsidR="00657CD7" w:rsidRPr="00324151">
        <w:rPr>
          <w:rFonts w:ascii="Arial" w:eastAsia="Times New Roman" w:hAnsi="Arial" w:cs="Arial"/>
          <w:b/>
          <w:szCs w:val="20"/>
        </w:rPr>
        <w:t>5</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16C62701"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657CD7" w:rsidRPr="00324151">
        <w:rPr>
          <w:rFonts w:ascii="Arial" w:eastAsia="Times New Roman" w:hAnsi="Arial" w:cs="Arial"/>
          <w:b/>
          <w:szCs w:val="20"/>
        </w:rPr>
        <w:t>6</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4"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4"/>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0F297912" w14:textId="5A3EAB1E"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7</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77777777" w:rsidR="006E4F58" w:rsidRPr="00324151" w:rsidRDefault="006E4F58"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w:t>
      </w:r>
      <w:r w:rsidRPr="00324151">
        <w:rPr>
          <w:rFonts w:ascii="Arial" w:eastAsia="Times New Roman" w:hAnsi="Arial" w:cs="Arial"/>
          <w:sz w:val="20"/>
          <w:szCs w:val="20"/>
        </w:rPr>
        <w:lastRenderedPageBreak/>
        <w:t>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6D4F8FE9" w14:textId="77777777" w:rsidR="00275A58" w:rsidRPr="00324151" w:rsidRDefault="00275A58" w:rsidP="00324151">
      <w:pPr>
        <w:spacing w:after="0" w:line="240" w:lineRule="auto"/>
        <w:rPr>
          <w:rFonts w:ascii="Arial" w:eastAsia="Times New Roman" w:hAnsi="Arial" w:cs="Arial"/>
          <w:sz w:val="20"/>
          <w:szCs w:val="20"/>
        </w:rPr>
      </w:pPr>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5452FBB3" w14:textId="1980BF63" w:rsidR="007E17C8" w:rsidRPr="00965AA0" w:rsidRDefault="00EF309B" w:rsidP="00965AA0">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xml:space="preserve">) in any way except as follows: </w:t>
      </w:r>
    </w:p>
    <w:p w14:paraId="26DAA32B" w14:textId="77777777" w:rsidR="007E17C8" w:rsidRPr="007E17C8" w:rsidRDefault="007E17C8" w:rsidP="007E17C8">
      <w:pPr>
        <w:pStyle w:val="PSNumHeading"/>
        <w:rPr>
          <w:sz w:val="20"/>
          <w:szCs w:val="20"/>
        </w:rPr>
      </w:pPr>
      <w:r w:rsidRPr="007E17C8">
        <w:rPr>
          <w:sz w:val="20"/>
          <w:szCs w:val="20"/>
        </w:rPr>
        <w:t>Prevention of Fraud and Abuse.</w:t>
      </w:r>
    </w:p>
    <w:p w14:paraId="2CB26743" w14:textId="77777777" w:rsidR="007E17C8" w:rsidRPr="00457E34" w:rsidRDefault="007E17C8" w:rsidP="007E17C8">
      <w:pPr>
        <w:pStyle w:val="PSNumHeading"/>
        <w:numPr>
          <w:ilvl w:val="0"/>
          <w:numId w:val="0"/>
        </w:numPr>
        <w:spacing w:before="0"/>
        <w:ind w:left="576"/>
        <w:rPr>
          <w:sz w:val="20"/>
          <w:szCs w:val="20"/>
        </w:rPr>
      </w:pPr>
    </w:p>
    <w:p w14:paraId="710A2642" w14:textId="76EBDF67" w:rsidR="00E80072" w:rsidRDefault="007E17C8" w:rsidP="00E80072">
      <w:pPr>
        <w:pStyle w:val="PSNumHeading"/>
        <w:numPr>
          <w:ilvl w:val="0"/>
          <w:numId w:val="0"/>
        </w:numPr>
        <w:spacing w:before="0"/>
        <w:rPr>
          <w:b w:val="0"/>
          <w:sz w:val="20"/>
          <w:szCs w:val="20"/>
        </w:rPr>
      </w:pPr>
      <w:r w:rsidRPr="00457E34">
        <w:rPr>
          <w:b w:val="0"/>
          <w:sz w:val="20"/>
          <w:szCs w:val="20"/>
        </w:rPr>
        <w:t>In accordance with 42 U.S.C. 1396a(a)(68), Contractor shall establish and disseminate, to its employees (including management), subcontractors, and agents, written policies that provide detailed information about federal and state False Claims Acts, whistleblower protections, and Contractor policies and procedures for preventing and detecting fraud and abuse. The written policies described in this paragraph may be on paper or in electronic form and must be adopted by the subcontractors and agents of the Contractor.</w:t>
      </w:r>
      <w:r w:rsidR="00E80072" w:rsidRPr="00E80072">
        <w:rPr>
          <w:b w:val="0"/>
          <w:sz w:val="20"/>
          <w:szCs w:val="20"/>
        </w:rPr>
        <w:t xml:space="preserve"> If Contractor maintains an employee handbook, the Contractor shall provide the described information specifically in the employee handbook.</w:t>
      </w:r>
    </w:p>
    <w:p w14:paraId="10708647" w14:textId="77777777" w:rsidR="00E80072" w:rsidRPr="00E80072" w:rsidRDefault="00E80072" w:rsidP="00E80072">
      <w:pPr>
        <w:pStyle w:val="PSNumHeading"/>
        <w:numPr>
          <w:ilvl w:val="0"/>
          <w:numId w:val="0"/>
        </w:numPr>
        <w:spacing w:before="0"/>
        <w:rPr>
          <w:b w:val="0"/>
          <w:sz w:val="20"/>
          <w:szCs w:val="20"/>
        </w:rPr>
      </w:pPr>
      <w:bookmarkStart w:id="5" w:name="_GoBack"/>
      <w:bookmarkEnd w:id="5"/>
    </w:p>
    <w:p w14:paraId="571DAA7E" w14:textId="2D6AB733" w:rsidR="00E80072" w:rsidRPr="00457E34" w:rsidRDefault="00E80072" w:rsidP="00E80072">
      <w:pPr>
        <w:pStyle w:val="PSNumHeading"/>
        <w:numPr>
          <w:ilvl w:val="0"/>
          <w:numId w:val="0"/>
        </w:numPr>
        <w:spacing w:before="0"/>
        <w:rPr>
          <w:b w:val="0"/>
          <w:sz w:val="20"/>
          <w:szCs w:val="20"/>
        </w:rPr>
      </w:pPr>
      <w:r w:rsidRPr="00E80072">
        <w:rPr>
          <w:b w:val="0"/>
          <w:sz w:val="20"/>
          <w:szCs w:val="20"/>
        </w:rPr>
        <w:t>In any inspection, review, or audit of the Contractor by (or at the behest of) the State or federal government, the Contractor shall provide upon request copies of its written policies regarding fraud, waste, and abuse.  Contractor shall submit to OMPP a corrective action plan within sixty days (60) if the Contractor is found not to be in compliance with any part of the requirements stated in this paragraph.  If Contractor is required to submit a corrective action plan and does not do so within sixty (60) days, the state may withhold payment to the Contractor until a corrective action plan is received.</w:t>
      </w:r>
    </w:p>
    <w:p w14:paraId="7E7FF335" w14:textId="77777777" w:rsidR="007E17C8" w:rsidRPr="00457E34" w:rsidRDefault="007E17C8" w:rsidP="007E17C8">
      <w:pPr>
        <w:pStyle w:val="PSNumHeading"/>
        <w:numPr>
          <w:ilvl w:val="0"/>
          <w:numId w:val="0"/>
        </w:numPr>
        <w:spacing w:before="0"/>
        <w:rPr>
          <w:b w:val="0"/>
          <w:sz w:val="20"/>
          <w:szCs w:val="20"/>
        </w:rPr>
      </w:pPr>
    </w:p>
    <w:p w14:paraId="0DA23E4E" w14:textId="77777777" w:rsidR="007E17C8" w:rsidRPr="00457E34" w:rsidRDefault="007E17C8" w:rsidP="007E17C8">
      <w:pPr>
        <w:pStyle w:val="PSNumHeading"/>
        <w:spacing w:before="0"/>
        <w:rPr>
          <w:sz w:val="20"/>
          <w:szCs w:val="20"/>
        </w:rPr>
      </w:pPr>
      <w:r w:rsidRPr="00457E34">
        <w:rPr>
          <w:sz w:val="20"/>
          <w:szCs w:val="20"/>
        </w:rPr>
        <w:t>Assurance of Compliance with the Civil Rights Act of 1964, Section 504 of the Rehabilitation Act of 1973 and the Age Discrimination Act of 1975, the Americans with Disabilities Act of 1990 and Title IX of the Education Amendments of 1972.</w:t>
      </w:r>
    </w:p>
    <w:p w14:paraId="243CE82A" w14:textId="77777777" w:rsidR="007E17C8" w:rsidRPr="00457E34" w:rsidRDefault="007E17C8" w:rsidP="007E17C8">
      <w:pPr>
        <w:pStyle w:val="PSNumHeading"/>
        <w:numPr>
          <w:ilvl w:val="0"/>
          <w:numId w:val="0"/>
        </w:numPr>
        <w:spacing w:before="0"/>
        <w:ind w:left="576"/>
        <w:rPr>
          <w:sz w:val="20"/>
          <w:szCs w:val="20"/>
        </w:rPr>
      </w:pPr>
    </w:p>
    <w:p w14:paraId="4FA36514" w14:textId="77777777" w:rsidR="007E17C8" w:rsidRPr="00457E34" w:rsidRDefault="007E17C8" w:rsidP="007E17C8">
      <w:pPr>
        <w:pStyle w:val="PSNumHeading"/>
        <w:numPr>
          <w:ilvl w:val="0"/>
          <w:numId w:val="0"/>
        </w:numPr>
        <w:spacing w:before="0"/>
        <w:rPr>
          <w:b w:val="0"/>
          <w:sz w:val="20"/>
          <w:szCs w:val="20"/>
        </w:rPr>
      </w:pPr>
      <w:r w:rsidRPr="00457E34">
        <w:rPr>
          <w:b w:val="0"/>
          <w:sz w:val="20"/>
          <w:szCs w:val="20"/>
        </w:rPr>
        <w:t>The Contractor agrees that it, and all of its subcontractors and providers, will comply with the following:</w:t>
      </w:r>
    </w:p>
    <w:p w14:paraId="4A699797" w14:textId="77777777" w:rsidR="007E17C8" w:rsidRPr="00457E34" w:rsidRDefault="007E17C8" w:rsidP="007E17C8">
      <w:pPr>
        <w:pStyle w:val="PSNumHeading"/>
        <w:numPr>
          <w:ilvl w:val="0"/>
          <w:numId w:val="0"/>
        </w:numPr>
        <w:spacing w:before="0"/>
        <w:rPr>
          <w:b w:val="0"/>
          <w:sz w:val="20"/>
          <w:szCs w:val="20"/>
        </w:rPr>
      </w:pPr>
    </w:p>
    <w:p w14:paraId="4FE96833" w14:textId="77777777" w:rsidR="007E17C8" w:rsidRPr="00457E34" w:rsidRDefault="007E17C8" w:rsidP="007E17C8">
      <w:pPr>
        <w:pStyle w:val="PSNumHeading"/>
        <w:numPr>
          <w:ilvl w:val="0"/>
          <w:numId w:val="17"/>
        </w:numPr>
        <w:spacing w:before="0"/>
        <w:ind w:left="360"/>
        <w:rPr>
          <w:b w:val="0"/>
          <w:sz w:val="20"/>
          <w:szCs w:val="20"/>
        </w:rPr>
      </w:pPr>
      <w:r w:rsidRPr="00457E34">
        <w:rPr>
          <w:b w:val="0"/>
          <w:sz w:val="20"/>
          <w:szCs w:val="20"/>
        </w:rPr>
        <w:t>Title VI of the Civil Rights Act of 1964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Contractor receives Federal financial assistance under this Contract.</w:t>
      </w:r>
    </w:p>
    <w:p w14:paraId="484F5F64" w14:textId="77777777" w:rsidR="007E17C8" w:rsidRPr="00457E34" w:rsidRDefault="007E17C8" w:rsidP="007E17C8">
      <w:pPr>
        <w:pStyle w:val="PSNumHeading"/>
        <w:numPr>
          <w:ilvl w:val="0"/>
          <w:numId w:val="0"/>
        </w:numPr>
        <w:spacing w:before="0"/>
        <w:ind w:left="360" w:hanging="360"/>
        <w:rPr>
          <w:b w:val="0"/>
          <w:sz w:val="20"/>
          <w:szCs w:val="20"/>
        </w:rPr>
      </w:pPr>
    </w:p>
    <w:p w14:paraId="280B6AA1" w14:textId="77777777" w:rsidR="007E17C8" w:rsidRPr="00457E34" w:rsidRDefault="007E17C8" w:rsidP="007E17C8">
      <w:pPr>
        <w:pStyle w:val="PSNumHeading"/>
        <w:numPr>
          <w:ilvl w:val="0"/>
          <w:numId w:val="17"/>
        </w:numPr>
        <w:spacing w:before="0"/>
        <w:ind w:left="360"/>
        <w:rPr>
          <w:b w:val="0"/>
          <w:sz w:val="20"/>
          <w:szCs w:val="20"/>
        </w:rPr>
      </w:pPr>
      <w:r w:rsidRPr="00457E34">
        <w:rPr>
          <w:b w:val="0"/>
          <w:sz w:val="20"/>
          <w:szCs w:val="20"/>
        </w:rPr>
        <w:t xml:space="preserve">Section 504 of the Rehabilitation Act of 1973 (Pub. L. 93-112), as amended, and all requirements imposed by or pursuant to the Regulation of the Department of Health and Human Services (45 C.F.R. part 84), to the end that, in accordance with Section 504 of that Act and the Regulation, no otherwise qualified handicapped individual in the United States shall, solely by reason of his/her handicap, be excluded from participation in, be denied the benefits of, or be subjected to </w:t>
      </w:r>
      <w:r w:rsidRPr="00457E34">
        <w:rPr>
          <w:b w:val="0"/>
          <w:sz w:val="20"/>
          <w:szCs w:val="20"/>
        </w:rPr>
        <w:lastRenderedPageBreak/>
        <w:t>discrimination under any program or activity for which the Contractor receives Federal financial assistance under this Contract.</w:t>
      </w:r>
    </w:p>
    <w:p w14:paraId="59065A29" w14:textId="77777777" w:rsidR="007E17C8" w:rsidRPr="00457E34" w:rsidRDefault="007E17C8" w:rsidP="007E17C8">
      <w:pPr>
        <w:pStyle w:val="PSNumHeading"/>
        <w:numPr>
          <w:ilvl w:val="0"/>
          <w:numId w:val="0"/>
        </w:numPr>
        <w:spacing w:before="0"/>
        <w:ind w:left="360" w:hanging="360"/>
        <w:rPr>
          <w:b w:val="0"/>
          <w:sz w:val="20"/>
          <w:szCs w:val="20"/>
        </w:rPr>
      </w:pPr>
    </w:p>
    <w:p w14:paraId="63BDAF29" w14:textId="77777777" w:rsidR="007E17C8" w:rsidRPr="00457E34" w:rsidRDefault="007E17C8" w:rsidP="007E17C8">
      <w:pPr>
        <w:pStyle w:val="PSNumHeading"/>
        <w:numPr>
          <w:ilvl w:val="0"/>
          <w:numId w:val="17"/>
        </w:numPr>
        <w:spacing w:before="0"/>
        <w:ind w:left="360"/>
        <w:rPr>
          <w:b w:val="0"/>
          <w:sz w:val="20"/>
          <w:szCs w:val="20"/>
        </w:rPr>
      </w:pPr>
      <w:r w:rsidRPr="00457E34">
        <w:rPr>
          <w:b w:val="0"/>
          <w:sz w:val="20"/>
          <w:szCs w:val="20"/>
        </w:rPr>
        <w:t>The Age Discrimination Act of 1975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Contractor receives Federal financial assistance under this Contract.</w:t>
      </w:r>
    </w:p>
    <w:p w14:paraId="7EF590AE" w14:textId="77777777" w:rsidR="007E17C8" w:rsidRPr="00457E34" w:rsidRDefault="007E17C8" w:rsidP="007E17C8">
      <w:pPr>
        <w:pStyle w:val="PSNumHeading"/>
        <w:numPr>
          <w:ilvl w:val="0"/>
          <w:numId w:val="0"/>
        </w:numPr>
        <w:spacing w:before="0"/>
        <w:ind w:left="360" w:hanging="360"/>
        <w:rPr>
          <w:b w:val="0"/>
          <w:sz w:val="20"/>
          <w:szCs w:val="20"/>
        </w:rPr>
      </w:pPr>
    </w:p>
    <w:p w14:paraId="2DBC6CC8" w14:textId="77777777" w:rsidR="007E17C8" w:rsidRPr="00457E34" w:rsidRDefault="007E17C8" w:rsidP="007E17C8">
      <w:pPr>
        <w:pStyle w:val="PSNumHeading"/>
        <w:numPr>
          <w:ilvl w:val="0"/>
          <w:numId w:val="17"/>
        </w:numPr>
        <w:spacing w:before="0"/>
        <w:ind w:left="360"/>
        <w:rPr>
          <w:b w:val="0"/>
          <w:sz w:val="20"/>
          <w:szCs w:val="20"/>
        </w:rPr>
      </w:pPr>
      <w:r w:rsidRPr="00457E34">
        <w:rPr>
          <w:b w:val="0"/>
          <w:sz w:val="20"/>
          <w:szCs w:val="20"/>
        </w:rPr>
        <w:t>The Americans with Disabilities Act of 1990 (Pub. L. 101-336), as amended, and all requirements imposed by or pursuant to the Regulation of the Department of Justice (28 C.F.R. 35.101 et seq.), to the end that in accordance with the Act and Regulation, no person in the united States with a disability shall, on the basis of the disability, be excluded from participation in, be denied the benefits of, or otherwise be subjected to discrimination under any program or activity for which the Contractor receives Federal financial assistance under this Contract.</w:t>
      </w:r>
    </w:p>
    <w:p w14:paraId="30A5FB04" w14:textId="77777777" w:rsidR="007E17C8" w:rsidRPr="00457E34" w:rsidRDefault="007E17C8" w:rsidP="007E17C8">
      <w:pPr>
        <w:pStyle w:val="PSNumHeading"/>
        <w:numPr>
          <w:ilvl w:val="0"/>
          <w:numId w:val="0"/>
        </w:numPr>
        <w:spacing w:before="0"/>
        <w:ind w:left="360" w:hanging="360"/>
        <w:rPr>
          <w:b w:val="0"/>
          <w:sz w:val="20"/>
          <w:szCs w:val="20"/>
        </w:rPr>
      </w:pPr>
    </w:p>
    <w:p w14:paraId="6A9B916E" w14:textId="77777777" w:rsidR="007E17C8" w:rsidRPr="00457E34" w:rsidRDefault="007E17C8" w:rsidP="007E17C8">
      <w:pPr>
        <w:pStyle w:val="PSNumHeading"/>
        <w:numPr>
          <w:ilvl w:val="0"/>
          <w:numId w:val="17"/>
        </w:numPr>
        <w:spacing w:before="0"/>
        <w:ind w:left="360"/>
        <w:rPr>
          <w:b w:val="0"/>
          <w:sz w:val="20"/>
          <w:szCs w:val="20"/>
        </w:rPr>
      </w:pPr>
      <w:r w:rsidRPr="00457E34">
        <w:rPr>
          <w:b w:val="0"/>
          <w:sz w:val="20"/>
          <w:szCs w:val="20"/>
        </w:rPr>
        <w:t>Title IX of the Education Amendments of 1972, as amended (20 U.S.C. §§ 1681, 1683, and 1685-1686), and all requirements imposed by or pursuant to regulation, to the end that, in accordance with the Amendments, no person in the United States shall, on the basis of sex, be excluded from participation in, be denied the benefits of, or otherwise be subjected to discrimination under any program or activity for which the Contractor receives Federal financial assistance under this Contract.</w:t>
      </w:r>
    </w:p>
    <w:p w14:paraId="6D272604" w14:textId="77777777" w:rsidR="007E17C8" w:rsidRPr="00457E34" w:rsidRDefault="007E17C8" w:rsidP="007E17C8">
      <w:pPr>
        <w:pStyle w:val="PSNumHeading"/>
        <w:numPr>
          <w:ilvl w:val="0"/>
          <w:numId w:val="0"/>
        </w:numPr>
        <w:spacing w:before="0"/>
        <w:ind w:left="576" w:hanging="576"/>
        <w:rPr>
          <w:b w:val="0"/>
          <w:sz w:val="20"/>
          <w:szCs w:val="20"/>
        </w:rPr>
      </w:pPr>
    </w:p>
    <w:p w14:paraId="6B32B0E7" w14:textId="2BEE2E19" w:rsidR="007E17C8" w:rsidRDefault="007E17C8" w:rsidP="007E17C8">
      <w:pPr>
        <w:pStyle w:val="PSNumHeading"/>
        <w:numPr>
          <w:ilvl w:val="0"/>
          <w:numId w:val="0"/>
        </w:numPr>
        <w:spacing w:before="0"/>
        <w:rPr>
          <w:b w:val="0"/>
          <w:sz w:val="20"/>
          <w:szCs w:val="20"/>
        </w:rPr>
      </w:pPr>
      <w:r w:rsidRPr="00457E34">
        <w:rPr>
          <w:b w:val="0"/>
          <w:sz w:val="20"/>
          <w:szCs w:val="20"/>
        </w:rPr>
        <w:t>The Contractor agrees that compliance with this assurance constitutes a condition of continued receipt of Federal financial assistance, and that it is binding upon the Contractor, its successors, transferees and assignees for the period during which such assistance is provided. The Contractor further recognizes that the United States shall have the right to seek judicial enforcement of this assurance.</w:t>
      </w:r>
    </w:p>
    <w:p w14:paraId="12B97A7E" w14:textId="77777777" w:rsidR="007E17C8" w:rsidRPr="00457E34" w:rsidRDefault="007E17C8" w:rsidP="007E17C8">
      <w:pPr>
        <w:pStyle w:val="PSNumHeading"/>
        <w:numPr>
          <w:ilvl w:val="0"/>
          <w:numId w:val="0"/>
        </w:numPr>
        <w:spacing w:before="0"/>
        <w:rPr>
          <w:b w:val="0"/>
          <w:sz w:val="20"/>
          <w:szCs w:val="20"/>
        </w:rPr>
      </w:pPr>
    </w:p>
    <w:p w14:paraId="709CEEE4" w14:textId="77777777" w:rsidR="007E17C8" w:rsidRPr="00457E34" w:rsidRDefault="007E17C8" w:rsidP="007E17C8">
      <w:pPr>
        <w:pStyle w:val="PSNumHeading"/>
        <w:spacing w:before="0"/>
        <w:rPr>
          <w:sz w:val="20"/>
          <w:szCs w:val="20"/>
        </w:rPr>
      </w:pPr>
      <w:r w:rsidRPr="00457E34">
        <w:rPr>
          <w:sz w:val="20"/>
          <w:szCs w:val="20"/>
        </w:rPr>
        <w:t>Conveyance of Documents and Continuation of Existing Activity.</w:t>
      </w:r>
    </w:p>
    <w:p w14:paraId="4F8586BB" w14:textId="77777777" w:rsidR="007E17C8" w:rsidRPr="00457E34" w:rsidRDefault="007E17C8" w:rsidP="007E17C8">
      <w:pPr>
        <w:pStyle w:val="PSNumHeading"/>
        <w:numPr>
          <w:ilvl w:val="0"/>
          <w:numId w:val="0"/>
        </w:numPr>
        <w:spacing w:before="0"/>
        <w:ind w:left="576"/>
        <w:rPr>
          <w:sz w:val="20"/>
          <w:szCs w:val="20"/>
        </w:rPr>
      </w:pPr>
    </w:p>
    <w:p w14:paraId="508E8EF9" w14:textId="77777777" w:rsidR="007E17C8" w:rsidRPr="00457E34" w:rsidRDefault="007E17C8" w:rsidP="007E17C8">
      <w:pPr>
        <w:pStyle w:val="PSNumHeading"/>
        <w:numPr>
          <w:ilvl w:val="0"/>
          <w:numId w:val="0"/>
        </w:numPr>
        <w:spacing w:before="0"/>
        <w:rPr>
          <w:b w:val="0"/>
          <w:sz w:val="20"/>
          <w:szCs w:val="20"/>
        </w:rPr>
      </w:pPr>
      <w:r w:rsidRPr="00457E34">
        <w:rPr>
          <w:b w:val="0"/>
          <w:sz w:val="20"/>
          <w:szCs w:val="20"/>
        </w:rPr>
        <w:t>Should the Contract for whatever reason, (i.e. completion of a contract with no renewal, or termination of service by either party), be discontinued and the activities as provided for in the Contract for Services cease, the Contractor and any subcontractors employed by the terminating Contractor in the performance of the duties of the Contract shall promptly convey to the State of Indiana, copies of all vendor working papers, data collection forms, reports, charts, programs, cost records and all other material related to work performed on this Contract excluding Contractor confidential, proprietary and trade secret materials. The Contractor and the Office shall convene immediately upon notification of termination or non-renewal of the Contract to determine what work shall be suspended, what work shall be completed, and the time frame for completion and conveyance. The Office will then provide the Contractor with a written schedule of the completion and conveyance activities associated with termination. Documents/materials associated with suspended activities shall be conveyed by the Contractor to the State of Indiana upon five days’ notice from the State of Indiana. Upon completion of those remaining activities noted on the written schedule, the Contractor shall also convey all documents and materials to the State of Indiana upon five days’ notice from the State of Indiana.</w:t>
      </w:r>
    </w:p>
    <w:p w14:paraId="080FB489" w14:textId="77777777" w:rsidR="007E17C8" w:rsidRPr="00457E34" w:rsidRDefault="007E17C8" w:rsidP="007E17C8">
      <w:pPr>
        <w:pStyle w:val="PSNumHeading"/>
        <w:numPr>
          <w:ilvl w:val="0"/>
          <w:numId w:val="0"/>
        </w:numPr>
        <w:spacing w:before="0"/>
        <w:rPr>
          <w:b w:val="0"/>
          <w:sz w:val="20"/>
          <w:szCs w:val="20"/>
        </w:rPr>
      </w:pPr>
    </w:p>
    <w:p w14:paraId="5D8DA995" w14:textId="77777777" w:rsidR="007E17C8" w:rsidRPr="00457E34" w:rsidRDefault="007E17C8" w:rsidP="007E17C8">
      <w:pPr>
        <w:pStyle w:val="PSNumHeading"/>
        <w:spacing w:before="0"/>
        <w:rPr>
          <w:sz w:val="20"/>
          <w:szCs w:val="20"/>
        </w:rPr>
      </w:pPr>
      <w:r w:rsidRPr="00457E34">
        <w:rPr>
          <w:sz w:val="20"/>
          <w:szCs w:val="20"/>
        </w:rPr>
        <w:t>Environmental Standards.</w:t>
      </w:r>
    </w:p>
    <w:p w14:paraId="1EAFB3B7" w14:textId="77777777" w:rsidR="007E17C8" w:rsidRPr="00457E34" w:rsidRDefault="007E17C8" w:rsidP="007E17C8">
      <w:pPr>
        <w:pStyle w:val="PSNumHeading"/>
        <w:numPr>
          <w:ilvl w:val="0"/>
          <w:numId w:val="0"/>
        </w:numPr>
        <w:spacing w:before="0"/>
        <w:ind w:left="576"/>
        <w:rPr>
          <w:sz w:val="20"/>
          <w:szCs w:val="20"/>
        </w:rPr>
      </w:pPr>
    </w:p>
    <w:p w14:paraId="558E2D40" w14:textId="77777777" w:rsidR="007E17C8" w:rsidRPr="00457E34" w:rsidRDefault="007E17C8" w:rsidP="007E17C8">
      <w:pPr>
        <w:pStyle w:val="PSNumHeading"/>
        <w:numPr>
          <w:ilvl w:val="0"/>
          <w:numId w:val="0"/>
        </w:numPr>
        <w:spacing w:before="0"/>
        <w:rPr>
          <w:b w:val="0"/>
          <w:sz w:val="20"/>
          <w:szCs w:val="20"/>
        </w:rPr>
      </w:pPr>
      <w:r w:rsidRPr="00457E34">
        <w:rPr>
          <w:b w:val="0"/>
          <w:sz w:val="20"/>
          <w:szCs w:val="20"/>
        </w:rPr>
        <w:t xml:space="preserve">If the Contract amount set forth in this Contract is in excess of $100,000, the Contractor shall comply with all applicable standards, orders, or requirements issued under section 306 of the Clean Air Act (42 U.S.C. § 7606), section 508 of the Clean Water Act (33 U.S.C. § 1368) Executive Order 11738, and Environmental Protection Agency regulations (2 C.F.R. Part 1532), which prohibit the use under non-exempt Federal contracts of facilities included on the EPA List of Violating Facilities. The Contractor shall </w:t>
      </w:r>
      <w:r w:rsidRPr="00457E34">
        <w:rPr>
          <w:b w:val="0"/>
          <w:sz w:val="20"/>
          <w:szCs w:val="20"/>
        </w:rPr>
        <w:lastRenderedPageBreak/>
        <w:t>report any violations of this paragraph to the State of Indiana and to the United States Environmental Protection Agency Assistant Administrator for Enforcement.</w:t>
      </w:r>
    </w:p>
    <w:p w14:paraId="4A6ACBD0" w14:textId="77777777" w:rsidR="007E17C8" w:rsidRPr="00457E34" w:rsidRDefault="007E17C8" w:rsidP="007E17C8">
      <w:pPr>
        <w:pStyle w:val="PSNumHeading"/>
        <w:numPr>
          <w:ilvl w:val="0"/>
          <w:numId w:val="0"/>
        </w:numPr>
        <w:spacing w:before="0"/>
        <w:rPr>
          <w:b w:val="0"/>
          <w:sz w:val="20"/>
          <w:szCs w:val="20"/>
        </w:rPr>
      </w:pPr>
    </w:p>
    <w:p w14:paraId="7E19C30D" w14:textId="77777777" w:rsidR="007E17C8" w:rsidRPr="00457E34" w:rsidRDefault="007E17C8" w:rsidP="007E17C8">
      <w:pPr>
        <w:pStyle w:val="PSNumHeading"/>
        <w:spacing w:before="0"/>
        <w:rPr>
          <w:sz w:val="20"/>
          <w:szCs w:val="20"/>
        </w:rPr>
      </w:pPr>
      <w:r w:rsidRPr="00457E34">
        <w:rPr>
          <w:sz w:val="20"/>
          <w:szCs w:val="20"/>
        </w:rPr>
        <w:t>Lobbying Activities.</w:t>
      </w:r>
    </w:p>
    <w:p w14:paraId="3D5CB76B" w14:textId="77777777" w:rsidR="007E17C8" w:rsidRPr="00457E34" w:rsidRDefault="007E17C8" w:rsidP="007E17C8">
      <w:pPr>
        <w:pStyle w:val="PSNumHeading"/>
        <w:numPr>
          <w:ilvl w:val="0"/>
          <w:numId w:val="0"/>
        </w:numPr>
        <w:spacing w:before="0"/>
        <w:ind w:left="576"/>
        <w:rPr>
          <w:sz w:val="20"/>
          <w:szCs w:val="20"/>
        </w:rPr>
      </w:pPr>
    </w:p>
    <w:p w14:paraId="28F55AB7" w14:textId="77777777" w:rsidR="007E17C8" w:rsidRPr="00457E34" w:rsidRDefault="007E17C8" w:rsidP="007E17C8">
      <w:pPr>
        <w:pStyle w:val="PSNumHeading"/>
        <w:numPr>
          <w:ilvl w:val="0"/>
          <w:numId w:val="0"/>
        </w:numPr>
        <w:spacing w:before="0"/>
        <w:rPr>
          <w:b w:val="0"/>
          <w:sz w:val="20"/>
          <w:szCs w:val="20"/>
        </w:rPr>
      </w:pPr>
      <w:r w:rsidRPr="00457E34">
        <w:rPr>
          <w:b w:val="0"/>
          <w:sz w:val="20"/>
          <w:szCs w:val="20"/>
        </w:rPr>
        <w:t>Pursuant to 31 U.S.C. § 1352, and any regulations promulgated thereunder, the Contractor hereby assures and certifies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contract, and the extension, continuation, renewal, amendment, or modification of any federal contract, grant, loan or cooperative contract. 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in accordance with its instructions.</w:t>
      </w:r>
    </w:p>
    <w:p w14:paraId="67A5E5F6" w14:textId="77777777" w:rsidR="007E17C8" w:rsidRPr="00457E34" w:rsidRDefault="007E17C8" w:rsidP="007E17C8">
      <w:pPr>
        <w:pStyle w:val="PSNumHeading"/>
        <w:numPr>
          <w:ilvl w:val="0"/>
          <w:numId w:val="0"/>
        </w:numPr>
        <w:spacing w:before="0"/>
        <w:rPr>
          <w:b w:val="0"/>
          <w:sz w:val="20"/>
          <w:szCs w:val="20"/>
        </w:rPr>
      </w:pPr>
    </w:p>
    <w:p w14:paraId="6273F325" w14:textId="77777777" w:rsidR="007E17C8" w:rsidRPr="00457E34" w:rsidRDefault="007E17C8" w:rsidP="007E17C8">
      <w:pPr>
        <w:pStyle w:val="PSNumHeading"/>
        <w:spacing w:before="0"/>
        <w:rPr>
          <w:sz w:val="20"/>
          <w:szCs w:val="20"/>
        </w:rPr>
      </w:pPr>
      <w:r w:rsidRPr="00457E34">
        <w:rPr>
          <w:sz w:val="20"/>
          <w:szCs w:val="20"/>
        </w:rPr>
        <w:t>Financial Disclosure.</w:t>
      </w:r>
    </w:p>
    <w:p w14:paraId="1543B80C" w14:textId="77777777" w:rsidR="007E17C8" w:rsidRPr="00457E34" w:rsidRDefault="007E17C8" w:rsidP="007E17C8">
      <w:pPr>
        <w:pStyle w:val="PSNumHeading"/>
        <w:numPr>
          <w:ilvl w:val="0"/>
          <w:numId w:val="0"/>
        </w:numPr>
        <w:spacing w:before="0"/>
        <w:ind w:left="576"/>
        <w:rPr>
          <w:sz w:val="20"/>
          <w:szCs w:val="20"/>
        </w:rPr>
      </w:pPr>
    </w:p>
    <w:p w14:paraId="61F86386" w14:textId="77777777" w:rsidR="007E17C8" w:rsidRPr="00457E34" w:rsidRDefault="007E17C8" w:rsidP="007E17C8">
      <w:pPr>
        <w:pStyle w:val="PSNumHeading"/>
        <w:numPr>
          <w:ilvl w:val="0"/>
          <w:numId w:val="0"/>
        </w:numPr>
        <w:spacing w:before="0"/>
        <w:rPr>
          <w:b w:val="0"/>
          <w:sz w:val="20"/>
          <w:szCs w:val="20"/>
        </w:rPr>
      </w:pPr>
      <w:r w:rsidRPr="00457E34">
        <w:rPr>
          <w:b w:val="0"/>
          <w:sz w:val="20"/>
          <w:szCs w:val="20"/>
        </w:rPr>
        <w:t>The Contractor agrees that it has disclosed, and shall as necessary in the future disclose to the State the name and address of each person with an ownership or controlling interest in the disclosing entity or in any subcontractor in which the disclosing entity has a direct or indirect ownership interest of 5 percent or more. If the Contractor is not subject to periodic survey under § 455.104(b</w:t>
      </w:r>
      <w:proofErr w:type="gramStart"/>
      <w:r w:rsidRPr="00457E34">
        <w:rPr>
          <w:b w:val="0"/>
          <w:sz w:val="20"/>
          <w:szCs w:val="20"/>
        </w:rPr>
        <w:t>)(</w:t>
      </w:r>
      <w:proofErr w:type="gramEnd"/>
      <w:r w:rsidRPr="00457E34">
        <w:rPr>
          <w:b w:val="0"/>
          <w:sz w:val="20"/>
          <w:szCs w:val="20"/>
        </w:rPr>
        <w:t>2), the Contractor must disclose whether any of the named persons is related to another as spouse, parent, child, or sibling. Moreover, pursuant to the requirements of § 455.104(a)(3), the Contractor shall disclose the name of any other disclosing entity in which a person with an ownership or controlling interest in the disclosing entity has an ownership or controlling interest.</w:t>
      </w:r>
    </w:p>
    <w:p w14:paraId="110EEA3E" w14:textId="77777777" w:rsidR="007E17C8" w:rsidRPr="00EA2645" w:rsidRDefault="007E17C8" w:rsidP="007E17C8">
      <w:pPr>
        <w:pStyle w:val="PSNumHeading"/>
        <w:spacing w:after="240"/>
        <w:rPr>
          <w:sz w:val="20"/>
          <w:szCs w:val="20"/>
        </w:rPr>
      </w:pPr>
      <w:r w:rsidRPr="00EA2645">
        <w:rPr>
          <w:sz w:val="20"/>
          <w:szCs w:val="20"/>
        </w:rPr>
        <w:t>Ownership and Control Reporting Requirements</w:t>
      </w:r>
    </w:p>
    <w:p w14:paraId="043D08D8" w14:textId="77777777" w:rsidR="007E17C8" w:rsidRPr="007E17C8" w:rsidRDefault="007E17C8" w:rsidP="007E17C8">
      <w:pPr>
        <w:spacing w:before="240"/>
        <w:contextualSpacing/>
        <w:rPr>
          <w:rFonts w:ascii="Arial" w:hAnsi="Arial" w:cs="Arial"/>
          <w:bCs/>
          <w:sz w:val="20"/>
          <w:szCs w:val="26"/>
        </w:rPr>
      </w:pPr>
      <w:r w:rsidRPr="007E17C8">
        <w:rPr>
          <w:rFonts w:ascii="Arial" w:hAnsi="Arial" w:cs="Arial"/>
          <w:bCs/>
          <w:sz w:val="20"/>
          <w:szCs w:val="26"/>
        </w:rPr>
        <w:t>Pursuant to 42 C.F.R. §455.104; the Contractor is hereby required to fulfill the following reporting obligations:</w:t>
      </w:r>
    </w:p>
    <w:p w14:paraId="3489026A" w14:textId="77777777" w:rsidR="007E17C8" w:rsidRPr="007E17C8" w:rsidRDefault="007E17C8" w:rsidP="007E17C8">
      <w:pPr>
        <w:rPr>
          <w:rFonts w:ascii="Arial" w:hAnsi="Arial" w:cs="Arial"/>
          <w:sz w:val="20"/>
          <w:szCs w:val="20"/>
        </w:rPr>
      </w:pPr>
    </w:p>
    <w:p w14:paraId="072E5BFA" w14:textId="77777777" w:rsidR="007E17C8" w:rsidRPr="007E17C8" w:rsidRDefault="007E17C8" w:rsidP="007E17C8">
      <w:pPr>
        <w:numPr>
          <w:ilvl w:val="2"/>
          <w:numId w:val="12"/>
        </w:numPr>
        <w:spacing w:after="120" w:line="240" w:lineRule="auto"/>
        <w:ind w:left="720"/>
        <w:rPr>
          <w:rFonts w:ascii="Arial" w:hAnsi="Arial" w:cs="Arial"/>
          <w:sz w:val="20"/>
          <w:szCs w:val="20"/>
        </w:rPr>
      </w:pPr>
      <w:r w:rsidRPr="007E17C8">
        <w:rPr>
          <w:rFonts w:ascii="Arial" w:hAnsi="Arial" w:cs="Arial"/>
          <w:i/>
          <w:sz w:val="20"/>
          <w:szCs w:val="20"/>
        </w:rPr>
        <w:t xml:space="preserve">Who must provide </w:t>
      </w:r>
      <w:proofErr w:type="gramStart"/>
      <w:r w:rsidRPr="007E17C8">
        <w:rPr>
          <w:rFonts w:ascii="Arial" w:hAnsi="Arial" w:cs="Arial"/>
          <w:i/>
          <w:sz w:val="20"/>
          <w:szCs w:val="20"/>
        </w:rPr>
        <w:t>disclosures.</w:t>
      </w:r>
      <w:proofErr w:type="gramEnd"/>
      <w:r w:rsidRPr="007E17C8">
        <w:rPr>
          <w:rFonts w:ascii="Arial" w:hAnsi="Arial" w:cs="Arial"/>
          <w:sz w:val="20"/>
          <w:szCs w:val="20"/>
        </w:rPr>
        <w:t xml:space="preserve"> The Medicaid agency must obtain disclosures from disclosing entities, fiscal agents, and managed care entities.</w:t>
      </w:r>
    </w:p>
    <w:p w14:paraId="188B3388" w14:textId="77777777" w:rsidR="007E17C8" w:rsidRPr="007E17C8" w:rsidRDefault="007E17C8" w:rsidP="007E17C8">
      <w:pPr>
        <w:numPr>
          <w:ilvl w:val="2"/>
          <w:numId w:val="12"/>
        </w:numPr>
        <w:spacing w:after="120" w:line="240" w:lineRule="auto"/>
        <w:ind w:left="720"/>
        <w:rPr>
          <w:rFonts w:ascii="Arial" w:hAnsi="Arial" w:cs="Arial"/>
          <w:sz w:val="20"/>
          <w:szCs w:val="20"/>
        </w:rPr>
      </w:pPr>
      <w:r w:rsidRPr="007E17C8">
        <w:rPr>
          <w:rFonts w:ascii="Arial" w:hAnsi="Arial" w:cs="Arial"/>
          <w:i/>
          <w:sz w:val="20"/>
          <w:szCs w:val="20"/>
        </w:rPr>
        <w:t xml:space="preserve">What disclosures must be </w:t>
      </w:r>
      <w:proofErr w:type="gramStart"/>
      <w:r w:rsidRPr="007E17C8">
        <w:rPr>
          <w:rFonts w:ascii="Arial" w:hAnsi="Arial" w:cs="Arial"/>
          <w:i/>
          <w:sz w:val="20"/>
          <w:szCs w:val="20"/>
        </w:rPr>
        <w:t>provided.</w:t>
      </w:r>
      <w:proofErr w:type="gramEnd"/>
      <w:r w:rsidRPr="007E17C8">
        <w:rPr>
          <w:rFonts w:ascii="Arial" w:hAnsi="Arial" w:cs="Arial"/>
          <w:sz w:val="20"/>
          <w:szCs w:val="20"/>
        </w:rPr>
        <w:t xml:space="preserve"> The Medicaid agency must require that disclosing entities, fiscal agents, and managed care entities provide the following disclosures:</w:t>
      </w:r>
    </w:p>
    <w:p w14:paraId="2F44943E" w14:textId="77777777" w:rsidR="007E17C8" w:rsidRPr="007E17C8" w:rsidRDefault="007E17C8" w:rsidP="007E17C8">
      <w:pPr>
        <w:numPr>
          <w:ilvl w:val="3"/>
          <w:numId w:val="12"/>
        </w:numPr>
        <w:spacing w:after="120" w:line="240" w:lineRule="auto"/>
        <w:ind w:left="1440"/>
        <w:rPr>
          <w:rFonts w:ascii="Arial" w:hAnsi="Arial" w:cs="Arial"/>
          <w:sz w:val="20"/>
          <w:szCs w:val="20"/>
        </w:rPr>
      </w:pPr>
      <w:r w:rsidRPr="007E17C8">
        <w:rPr>
          <w:rFonts w:ascii="Arial" w:hAnsi="Arial" w:cs="Arial"/>
          <w:sz w:val="20"/>
          <w:szCs w:val="20"/>
        </w:rPr>
        <w:t>(</w:t>
      </w:r>
      <w:proofErr w:type="spellStart"/>
      <w:r w:rsidRPr="007E17C8">
        <w:rPr>
          <w:rFonts w:ascii="Arial" w:hAnsi="Arial" w:cs="Arial"/>
          <w:sz w:val="20"/>
          <w:szCs w:val="20"/>
        </w:rPr>
        <w:t>i</w:t>
      </w:r>
      <w:proofErr w:type="spellEnd"/>
      <w:r w:rsidRPr="007E17C8">
        <w:rPr>
          <w:rFonts w:ascii="Arial" w:hAnsi="Arial" w:cs="Arial"/>
          <w:sz w:val="20"/>
          <w:szCs w:val="20"/>
        </w:rPr>
        <w:t>) The name and address of any person (individual or corporation) with an ownership or control interest in the disclosing entity, fiscal agent, or managed care entity. The address for corporate entities must include as applicable primary business address, every business location, and P.O. Box address.</w:t>
      </w:r>
    </w:p>
    <w:p w14:paraId="74F7CBF6" w14:textId="77777777" w:rsidR="007E17C8" w:rsidRPr="007E17C8" w:rsidRDefault="007E17C8" w:rsidP="007E17C8">
      <w:pPr>
        <w:spacing w:after="120"/>
        <w:ind w:left="1440"/>
        <w:rPr>
          <w:rFonts w:ascii="Arial" w:hAnsi="Arial" w:cs="Arial"/>
          <w:sz w:val="20"/>
          <w:szCs w:val="20"/>
        </w:rPr>
      </w:pPr>
      <w:r w:rsidRPr="007E17C8">
        <w:rPr>
          <w:rFonts w:ascii="Arial" w:hAnsi="Arial" w:cs="Arial"/>
          <w:sz w:val="20"/>
          <w:szCs w:val="20"/>
        </w:rPr>
        <w:t>(ii) Date of birth and Social Security Number (in the case of an individual).</w:t>
      </w:r>
    </w:p>
    <w:p w14:paraId="61589A78" w14:textId="77777777" w:rsidR="007E17C8" w:rsidRPr="007E17C8" w:rsidRDefault="007E17C8" w:rsidP="007E17C8">
      <w:pPr>
        <w:spacing w:after="120"/>
        <w:ind w:left="1440"/>
        <w:rPr>
          <w:rFonts w:ascii="Arial" w:hAnsi="Arial" w:cs="Arial"/>
          <w:sz w:val="20"/>
          <w:szCs w:val="20"/>
        </w:rPr>
      </w:pPr>
      <w:r w:rsidRPr="007E17C8">
        <w:rPr>
          <w:rFonts w:ascii="Arial" w:hAnsi="Arial" w:cs="Arial"/>
          <w:sz w:val="20"/>
          <w:szCs w:val="20"/>
        </w:rPr>
        <w:t>(iii) Other tax identification number (in the case of a corporation) with an ownership or control interest in the disclosing entity (or fiscal agent or managed care entity) or in any subcontractor in which the disclosing entity (or fiscal agent or managed care entity) has a 5 percent or more interest.</w:t>
      </w:r>
    </w:p>
    <w:p w14:paraId="1F2AE269" w14:textId="77777777" w:rsidR="007E17C8" w:rsidRPr="007E17C8" w:rsidRDefault="007E17C8" w:rsidP="007E17C8">
      <w:pPr>
        <w:numPr>
          <w:ilvl w:val="3"/>
          <w:numId w:val="12"/>
        </w:numPr>
        <w:spacing w:after="120" w:line="240" w:lineRule="auto"/>
        <w:ind w:left="1440"/>
        <w:rPr>
          <w:rFonts w:ascii="Arial" w:hAnsi="Arial" w:cs="Arial"/>
          <w:sz w:val="20"/>
          <w:szCs w:val="20"/>
        </w:rPr>
      </w:pPr>
      <w:r w:rsidRPr="007E17C8">
        <w:rPr>
          <w:rFonts w:ascii="Arial" w:hAnsi="Arial" w:cs="Arial"/>
          <w:sz w:val="20"/>
          <w:szCs w:val="20"/>
        </w:rPr>
        <w:t xml:space="preserve">Whether the person (individual or corporation) with an ownership or control interest in the disclosing entity (or fiscal agent or managed care entity) is related to another person with ownership or control interest in the disclosing entity as a spouse, parent, child, or sibling; or whether the person (individual or corporation) with an ownership or control interest in </w:t>
      </w:r>
      <w:r w:rsidRPr="007E17C8">
        <w:rPr>
          <w:rFonts w:ascii="Arial" w:hAnsi="Arial" w:cs="Arial"/>
          <w:sz w:val="20"/>
          <w:szCs w:val="20"/>
        </w:rPr>
        <w:lastRenderedPageBreak/>
        <w:t>any subcontractor in which the disclosing entity (or fiscal agent or managed care entity) has a 5 percent or more interest is related to another person with ownership or control interest in the disclosing entity as a spouse, parent, child, or sibling.</w:t>
      </w:r>
    </w:p>
    <w:p w14:paraId="4B3C9070" w14:textId="77777777" w:rsidR="007E17C8" w:rsidRPr="007E17C8" w:rsidRDefault="007E17C8" w:rsidP="007E17C8">
      <w:pPr>
        <w:numPr>
          <w:ilvl w:val="3"/>
          <w:numId w:val="12"/>
        </w:numPr>
        <w:spacing w:after="120" w:line="240" w:lineRule="auto"/>
        <w:ind w:left="1440"/>
        <w:rPr>
          <w:rFonts w:ascii="Arial" w:hAnsi="Arial" w:cs="Arial"/>
          <w:sz w:val="20"/>
          <w:szCs w:val="20"/>
        </w:rPr>
      </w:pPr>
      <w:r w:rsidRPr="007E17C8">
        <w:rPr>
          <w:rFonts w:ascii="Arial" w:hAnsi="Arial" w:cs="Arial"/>
          <w:sz w:val="20"/>
          <w:szCs w:val="20"/>
        </w:rPr>
        <w:t>The name of any other disclosing entity (or fiscal agent or managed care entity) in which an owner of the disclosing entity (or fiscal agent or managed care entity) has an ownership or control interest.</w:t>
      </w:r>
    </w:p>
    <w:p w14:paraId="6D7DFEAA" w14:textId="77777777" w:rsidR="007E17C8" w:rsidRPr="007E17C8" w:rsidRDefault="007E17C8" w:rsidP="007E17C8">
      <w:pPr>
        <w:numPr>
          <w:ilvl w:val="3"/>
          <w:numId w:val="12"/>
        </w:numPr>
        <w:spacing w:after="120" w:line="240" w:lineRule="auto"/>
        <w:ind w:left="1440"/>
        <w:rPr>
          <w:rFonts w:ascii="Arial" w:hAnsi="Arial" w:cs="Arial"/>
          <w:sz w:val="20"/>
          <w:szCs w:val="20"/>
        </w:rPr>
      </w:pPr>
      <w:r w:rsidRPr="007E17C8">
        <w:rPr>
          <w:rFonts w:ascii="Arial" w:hAnsi="Arial" w:cs="Arial"/>
          <w:sz w:val="20"/>
          <w:szCs w:val="20"/>
        </w:rPr>
        <w:t>The name, address, date of birth, and Social Security Number of any managing employee of the disclosing entity (or fiscal agent or managed care entity).</w:t>
      </w:r>
    </w:p>
    <w:p w14:paraId="159FA1C4" w14:textId="77777777" w:rsidR="007E17C8" w:rsidRPr="007E17C8" w:rsidRDefault="007E17C8" w:rsidP="007E17C8">
      <w:pPr>
        <w:numPr>
          <w:ilvl w:val="2"/>
          <w:numId w:val="12"/>
        </w:numPr>
        <w:spacing w:after="120" w:line="240" w:lineRule="auto"/>
        <w:ind w:left="720"/>
        <w:rPr>
          <w:rFonts w:ascii="Arial" w:hAnsi="Arial" w:cs="Arial"/>
          <w:i/>
          <w:sz w:val="20"/>
          <w:szCs w:val="20"/>
        </w:rPr>
      </w:pPr>
      <w:r w:rsidRPr="007E17C8">
        <w:rPr>
          <w:rFonts w:ascii="Arial" w:hAnsi="Arial" w:cs="Arial"/>
          <w:i/>
          <w:sz w:val="20"/>
          <w:szCs w:val="20"/>
        </w:rPr>
        <w:t>When the disclosures must be provided—</w:t>
      </w:r>
    </w:p>
    <w:p w14:paraId="280DA629" w14:textId="77777777" w:rsidR="007E17C8" w:rsidRPr="007E17C8" w:rsidRDefault="007E17C8" w:rsidP="007E17C8">
      <w:pPr>
        <w:numPr>
          <w:ilvl w:val="0"/>
          <w:numId w:val="18"/>
        </w:numPr>
        <w:spacing w:after="120" w:line="240" w:lineRule="auto"/>
        <w:ind w:left="1440"/>
        <w:rPr>
          <w:rFonts w:ascii="Arial" w:hAnsi="Arial" w:cs="Arial"/>
          <w:sz w:val="20"/>
          <w:szCs w:val="20"/>
        </w:rPr>
      </w:pPr>
      <w:r w:rsidRPr="007E17C8">
        <w:rPr>
          <w:rFonts w:ascii="Arial" w:hAnsi="Arial" w:cs="Arial"/>
          <w:i/>
          <w:sz w:val="20"/>
          <w:szCs w:val="20"/>
        </w:rPr>
        <w:t>Disclosures from providers or disclosing entities</w:t>
      </w:r>
      <w:r w:rsidRPr="007E17C8">
        <w:rPr>
          <w:rFonts w:ascii="Arial" w:hAnsi="Arial" w:cs="Arial"/>
          <w:sz w:val="20"/>
          <w:szCs w:val="20"/>
        </w:rPr>
        <w:t>. Disclosure from any provider or disclosing entity is due at any of the following times:</w:t>
      </w:r>
    </w:p>
    <w:p w14:paraId="2EAC3116"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Upon the provider or disclosing entity submitting the provider application.</w:t>
      </w:r>
    </w:p>
    <w:p w14:paraId="1EE3E9B1"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Upon the provider or disclosing entity executing the provider agreement.</w:t>
      </w:r>
    </w:p>
    <w:p w14:paraId="2888F6D5"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Upon request of the Medicaid agency during the re-validation of enrollment process under §455.414.</w:t>
      </w:r>
    </w:p>
    <w:p w14:paraId="29720074"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Within 35 days after any change in ownership of the disclosing entity.</w:t>
      </w:r>
    </w:p>
    <w:p w14:paraId="15882907" w14:textId="77777777" w:rsidR="007E17C8" w:rsidRPr="007E17C8" w:rsidRDefault="007E17C8" w:rsidP="007E17C8">
      <w:pPr>
        <w:numPr>
          <w:ilvl w:val="0"/>
          <w:numId w:val="18"/>
        </w:numPr>
        <w:spacing w:after="120" w:line="240" w:lineRule="auto"/>
        <w:ind w:left="1440"/>
        <w:rPr>
          <w:rFonts w:ascii="Arial" w:hAnsi="Arial" w:cs="Arial"/>
          <w:sz w:val="20"/>
          <w:szCs w:val="20"/>
        </w:rPr>
      </w:pPr>
      <w:r w:rsidRPr="007E17C8">
        <w:rPr>
          <w:rFonts w:ascii="Arial" w:hAnsi="Arial" w:cs="Arial"/>
          <w:i/>
          <w:sz w:val="20"/>
          <w:szCs w:val="20"/>
        </w:rPr>
        <w:t>Disclosures from fiscal agents</w:t>
      </w:r>
      <w:r w:rsidRPr="007E17C8">
        <w:rPr>
          <w:rFonts w:ascii="Arial" w:hAnsi="Arial" w:cs="Arial"/>
          <w:sz w:val="20"/>
          <w:szCs w:val="20"/>
        </w:rPr>
        <w:t>. Disclosures from fiscal agents are due at any of the following times:</w:t>
      </w:r>
    </w:p>
    <w:p w14:paraId="239A9E94"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Upon the fiscal agent submitting the proposal in accordance with the State’s procurement process.</w:t>
      </w:r>
    </w:p>
    <w:p w14:paraId="7DC24D9B"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Upon the fiscal agent executing the contract with the State.</w:t>
      </w:r>
    </w:p>
    <w:p w14:paraId="22283C34"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Upon renewal or extension of the contract.</w:t>
      </w:r>
    </w:p>
    <w:p w14:paraId="7C9A6B55"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Within 35 days after any change in ownership of the fiscal agent.</w:t>
      </w:r>
    </w:p>
    <w:p w14:paraId="4B1490EB" w14:textId="77777777" w:rsidR="007E17C8" w:rsidRPr="007E17C8" w:rsidRDefault="007E17C8" w:rsidP="007E17C8">
      <w:pPr>
        <w:numPr>
          <w:ilvl w:val="0"/>
          <w:numId w:val="18"/>
        </w:numPr>
        <w:spacing w:after="120" w:line="240" w:lineRule="auto"/>
        <w:ind w:left="1440"/>
        <w:rPr>
          <w:rFonts w:ascii="Arial" w:hAnsi="Arial" w:cs="Arial"/>
          <w:sz w:val="20"/>
          <w:szCs w:val="20"/>
        </w:rPr>
      </w:pPr>
      <w:r w:rsidRPr="007E17C8">
        <w:rPr>
          <w:rFonts w:ascii="Arial" w:hAnsi="Arial" w:cs="Arial"/>
          <w:i/>
          <w:sz w:val="20"/>
          <w:szCs w:val="20"/>
        </w:rPr>
        <w:t>Disclosures from managed care entities.</w:t>
      </w:r>
      <w:r w:rsidRPr="007E17C8">
        <w:rPr>
          <w:rFonts w:ascii="Arial" w:hAnsi="Arial" w:cs="Arial"/>
          <w:sz w:val="20"/>
          <w:szCs w:val="20"/>
        </w:rPr>
        <w:t xml:space="preserve"> Disclosures from managed care entities (MCOs, PIHPs, PAHPs, and HIOs), except PCCMs are due at any of the following times:</w:t>
      </w:r>
    </w:p>
    <w:p w14:paraId="6F0856B8"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Upon the managed care entity submitting the proposal in accordance with the State’s procurement process.</w:t>
      </w:r>
    </w:p>
    <w:p w14:paraId="2DF3B865"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Upon the managed care entity executing the contract with the State.</w:t>
      </w:r>
    </w:p>
    <w:p w14:paraId="79F5D5BA"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Upon renewal or extension of the contract.</w:t>
      </w:r>
    </w:p>
    <w:p w14:paraId="67153502" w14:textId="77777777" w:rsidR="007E17C8" w:rsidRPr="007E17C8" w:rsidRDefault="007E17C8" w:rsidP="007E17C8">
      <w:pPr>
        <w:numPr>
          <w:ilvl w:val="5"/>
          <w:numId w:val="18"/>
        </w:numPr>
        <w:spacing w:after="120" w:line="240" w:lineRule="auto"/>
        <w:ind w:left="2160"/>
        <w:rPr>
          <w:rFonts w:ascii="Arial" w:hAnsi="Arial" w:cs="Arial"/>
          <w:sz w:val="20"/>
          <w:szCs w:val="20"/>
        </w:rPr>
      </w:pPr>
      <w:r w:rsidRPr="007E17C8">
        <w:rPr>
          <w:rFonts w:ascii="Arial" w:hAnsi="Arial" w:cs="Arial"/>
          <w:sz w:val="20"/>
          <w:szCs w:val="20"/>
        </w:rPr>
        <w:t>Within 35 days after any change in ownership of the managed care entity.</w:t>
      </w:r>
    </w:p>
    <w:p w14:paraId="339F720E" w14:textId="77777777" w:rsidR="007E17C8" w:rsidRPr="007E17C8" w:rsidRDefault="007E17C8" w:rsidP="007E17C8">
      <w:pPr>
        <w:numPr>
          <w:ilvl w:val="0"/>
          <w:numId w:val="18"/>
        </w:numPr>
        <w:spacing w:after="120" w:line="240" w:lineRule="auto"/>
        <w:ind w:left="1440"/>
        <w:rPr>
          <w:rFonts w:ascii="Arial" w:hAnsi="Arial" w:cs="Arial"/>
          <w:sz w:val="20"/>
          <w:szCs w:val="20"/>
        </w:rPr>
      </w:pPr>
      <w:r w:rsidRPr="007E17C8">
        <w:rPr>
          <w:rFonts w:ascii="Arial" w:hAnsi="Arial" w:cs="Arial"/>
          <w:i/>
          <w:sz w:val="20"/>
          <w:szCs w:val="20"/>
        </w:rPr>
        <w:t>Disclosures from PCCMs</w:t>
      </w:r>
      <w:r w:rsidRPr="007E17C8">
        <w:rPr>
          <w:rFonts w:ascii="Arial" w:hAnsi="Arial" w:cs="Arial"/>
          <w:sz w:val="20"/>
          <w:szCs w:val="20"/>
        </w:rPr>
        <w:t>. PCCMs will comply with the disclosure requirements under paragraph C.1 of this section.</w:t>
      </w:r>
    </w:p>
    <w:p w14:paraId="06E7653F" w14:textId="77777777" w:rsidR="007E17C8" w:rsidRPr="007E17C8" w:rsidRDefault="007E17C8" w:rsidP="007E17C8">
      <w:pPr>
        <w:numPr>
          <w:ilvl w:val="2"/>
          <w:numId w:val="12"/>
        </w:numPr>
        <w:spacing w:after="120" w:line="240" w:lineRule="auto"/>
        <w:ind w:left="720"/>
        <w:rPr>
          <w:rFonts w:ascii="Arial" w:hAnsi="Arial" w:cs="Arial"/>
          <w:sz w:val="20"/>
          <w:szCs w:val="20"/>
        </w:rPr>
      </w:pPr>
      <w:r w:rsidRPr="007E17C8">
        <w:rPr>
          <w:rFonts w:ascii="Arial" w:hAnsi="Arial" w:cs="Arial"/>
          <w:i/>
          <w:sz w:val="20"/>
          <w:szCs w:val="20"/>
        </w:rPr>
        <w:t xml:space="preserve">To whom must the disclosures be </w:t>
      </w:r>
      <w:proofErr w:type="gramStart"/>
      <w:r w:rsidRPr="007E17C8">
        <w:rPr>
          <w:rFonts w:ascii="Arial" w:hAnsi="Arial" w:cs="Arial"/>
          <w:i/>
          <w:sz w:val="20"/>
          <w:szCs w:val="20"/>
        </w:rPr>
        <w:t>provided</w:t>
      </w:r>
      <w:r w:rsidRPr="007E17C8">
        <w:rPr>
          <w:rFonts w:ascii="Arial" w:hAnsi="Arial" w:cs="Arial"/>
          <w:sz w:val="20"/>
          <w:szCs w:val="20"/>
        </w:rPr>
        <w:t>.</w:t>
      </w:r>
      <w:proofErr w:type="gramEnd"/>
      <w:r w:rsidRPr="007E17C8">
        <w:rPr>
          <w:rFonts w:ascii="Arial" w:hAnsi="Arial" w:cs="Arial"/>
          <w:sz w:val="20"/>
          <w:szCs w:val="20"/>
        </w:rPr>
        <w:t xml:space="preserve"> All disclosures must be provided to the Medicaid agency.</w:t>
      </w:r>
    </w:p>
    <w:p w14:paraId="7623D369" w14:textId="77777777" w:rsidR="007E17C8" w:rsidRPr="007E17C8" w:rsidRDefault="007E17C8" w:rsidP="007E17C8">
      <w:pPr>
        <w:numPr>
          <w:ilvl w:val="2"/>
          <w:numId w:val="12"/>
        </w:numPr>
        <w:spacing w:after="120" w:line="240" w:lineRule="auto"/>
        <w:ind w:left="720"/>
        <w:rPr>
          <w:rFonts w:ascii="Arial" w:hAnsi="Arial" w:cs="Arial"/>
          <w:sz w:val="20"/>
          <w:szCs w:val="20"/>
        </w:rPr>
      </w:pPr>
      <w:r w:rsidRPr="007E17C8">
        <w:rPr>
          <w:rFonts w:ascii="Arial" w:hAnsi="Arial" w:cs="Arial"/>
          <w:i/>
          <w:sz w:val="20"/>
          <w:szCs w:val="20"/>
        </w:rPr>
        <w:t>Consequences for failure to provide required disclosures</w:t>
      </w:r>
      <w:r w:rsidRPr="007E17C8">
        <w:rPr>
          <w:rFonts w:ascii="Arial" w:hAnsi="Arial" w:cs="Arial"/>
          <w:sz w:val="20"/>
          <w:szCs w:val="20"/>
        </w:rPr>
        <w:t>. Federal financial participation (FFP) is not available in payments made to a disclosing entity that fails to disclose ownership or control information as required by this section.</w:t>
      </w:r>
    </w:p>
    <w:p w14:paraId="577265D2" w14:textId="77777777" w:rsidR="007E17C8" w:rsidRPr="007E17C8" w:rsidRDefault="007E17C8" w:rsidP="007E17C8">
      <w:pPr>
        <w:pStyle w:val="PSBody1"/>
        <w:spacing w:before="0"/>
        <w:rPr>
          <w:szCs w:val="20"/>
        </w:rPr>
      </w:pPr>
      <w:r w:rsidRPr="007E17C8">
        <w:rPr>
          <w:szCs w:val="20"/>
        </w:rPr>
        <w:t>_____________________________________________________________________________</w:t>
      </w:r>
    </w:p>
    <w:p w14:paraId="5AB8FABC" w14:textId="77777777" w:rsidR="007E17C8" w:rsidRPr="007E17C8" w:rsidRDefault="007E17C8" w:rsidP="007E17C8">
      <w:pPr>
        <w:pStyle w:val="PSBody1"/>
        <w:spacing w:before="0"/>
        <w:jc w:val="center"/>
        <w:rPr>
          <w:b/>
          <w:smallCaps/>
          <w:szCs w:val="20"/>
        </w:rPr>
      </w:pPr>
      <w:r w:rsidRPr="007E17C8">
        <w:rPr>
          <w:b/>
          <w:smallCaps/>
          <w:szCs w:val="20"/>
        </w:rPr>
        <w:t>The Remainder Of This Page Has Deliberately Been Left Blank</w:t>
      </w:r>
    </w:p>
    <w:p w14:paraId="0577E926" w14:textId="77777777" w:rsidR="007E17C8" w:rsidRPr="007E17C8" w:rsidRDefault="007E17C8" w:rsidP="007E17C8">
      <w:pPr>
        <w:pStyle w:val="PSBody1"/>
        <w:rPr>
          <w:szCs w:val="20"/>
        </w:rPr>
      </w:pPr>
    </w:p>
    <w:p w14:paraId="64380B07" w14:textId="77777777" w:rsidR="007E17C8" w:rsidRPr="007E17C8" w:rsidRDefault="007E17C8" w:rsidP="007E17C8">
      <w:pPr>
        <w:pStyle w:val="PSBody1"/>
        <w:rPr>
          <w:szCs w:val="20"/>
        </w:rPr>
      </w:pPr>
    </w:p>
    <w:p w14:paraId="550BFC89" w14:textId="77777777" w:rsidR="007E17C8" w:rsidRPr="007E17C8" w:rsidRDefault="007E17C8" w:rsidP="007E17C8">
      <w:pPr>
        <w:rPr>
          <w:rFonts w:ascii="Arial" w:hAnsi="Arial" w:cs="Arial"/>
        </w:rPr>
      </w:pPr>
      <w:r w:rsidRPr="007E17C8">
        <w:rPr>
          <w:rFonts w:ascii="Arial" w:hAnsi="Arial" w:cs="Arial"/>
        </w:rPr>
        <w:br w:type="page"/>
      </w:r>
    </w:p>
    <w:p w14:paraId="7BA46900" w14:textId="6B6B385E" w:rsidR="00EB48BE" w:rsidRDefault="00EB48BE" w:rsidP="007E17C8">
      <w:pPr>
        <w:pStyle w:val="PSUnnumHeading"/>
        <w:numPr>
          <w:ilvl w:val="0"/>
          <w:numId w:val="0"/>
        </w:numPr>
      </w:pPr>
      <w:bookmarkStart w:id="6" w:name="_Toc236554576"/>
      <w:r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7"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6"/>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1E822C6E" w14:textId="40F9D3D1" w:rsidR="00EB48BE" w:rsidRPr="00324151" w:rsidRDefault="00C90C77" w:rsidP="00324151">
            <w:pPr>
              <w:spacing w:after="0" w:line="240" w:lineRule="auto"/>
              <w:rPr>
                <w:rFonts w:ascii="Arial" w:hAnsi="Arial" w:cs="Arial"/>
                <w:sz w:val="16"/>
                <w:szCs w:val="16"/>
              </w:rPr>
            </w:pPr>
            <w:r>
              <w:rPr>
                <w:rFonts w:ascii="Arial" w:hAnsi="Arial" w:cs="Arial"/>
                <w:sz w:val="16"/>
                <w:szCs w:val="16"/>
              </w:rPr>
              <w:t>Lesley A. Crane</w:t>
            </w:r>
            <w:r w:rsidR="00EB48BE" w:rsidRPr="00324151">
              <w:rPr>
                <w:rFonts w:ascii="Arial" w:hAnsi="Arial" w:cs="Arial"/>
                <w:sz w:val="16"/>
                <w:szCs w:val="16"/>
              </w:rPr>
              <w:t>, Commissioner</w:t>
            </w:r>
          </w:p>
          <w:p w14:paraId="02EF303C"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6E7453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Jason </w:t>
            </w:r>
            <w:proofErr w:type="spellStart"/>
            <w:r w:rsidRPr="00324151">
              <w:rPr>
                <w:rFonts w:ascii="Arial" w:hAnsi="Arial" w:cs="Arial"/>
                <w:sz w:val="16"/>
                <w:szCs w:val="16"/>
              </w:rPr>
              <w:t>D.Dudich</w:t>
            </w:r>
            <w:proofErr w:type="spell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45ED6B19" w:rsidR="00291E2A" w:rsidRPr="00324151" w:rsidRDefault="00291E2A" w:rsidP="00F0508A">
      <w:pPr>
        <w:spacing w:after="0" w:line="240" w:lineRule="auto"/>
        <w:rPr>
          <w:rFonts w:ascii="Arial" w:eastAsia="Times New Roman" w:hAnsi="Arial" w:cs="Arial"/>
          <w:sz w:val="20"/>
          <w:szCs w:val="20"/>
        </w:rPr>
      </w:pPr>
    </w:p>
    <w:sectPr w:rsidR="00291E2A" w:rsidRPr="0032415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B4CC1" w14:textId="77777777" w:rsidR="00757882" w:rsidRDefault="00757882" w:rsidP="00C96F20">
      <w:pPr>
        <w:spacing w:after="0" w:line="240" w:lineRule="auto"/>
      </w:pPr>
      <w:r>
        <w:separator/>
      </w:r>
    </w:p>
  </w:endnote>
  <w:endnote w:type="continuationSeparator" w:id="0">
    <w:p w14:paraId="2D89D00E" w14:textId="77777777" w:rsidR="00757882" w:rsidRDefault="00757882"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965AA0" w:rsidRDefault="00965AA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0072">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0072">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C853A" w14:textId="77777777" w:rsidR="00757882" w:rsidRDefault="00757882" w:rsidP="00C96F20">
      <w:pPr>
        <w:spacing w:after="0" w:line="240" w:lineRule="auto"/>
      </w:pPr>
      <w:r>
        <w:separator/>
      </w:r>
    </w:p>
  </w:footnote>
  <w:footnote w:type="continuationSeparator" w:id="0">
    <w:p w14:paraId="0C67F870" w14:textId="77777777" w:rsidR="00757882" w:rsidRDefault="00757882"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A71B0B"/>
    <w:multiLevelType w:val="hybridMultilevel"/>
    <w:tmpl w:val="766800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717E2"/>
    <w:multiLevelType w:val="hybridMultilevel"/>
    <w:tmpl w:val="2DE07308"/>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5"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6"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8" w15:restartNumberingAfterBreak="0">
    <w:nsid w:val="44244994"/>
    <w:multiLevelType w:val="hybridMultilevel"/>
    <w:tmpl w:val="EFC60D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1"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2" w15:restartNumberingAfterBreak="0">
    <w:nsid w:val="4E6C3C7A"/>
    <w:multiLevelType w:val="multilevel"/>
    <w:tmpl w:val="3B964FB6"/>
    <w:lvl w:ilvl="0">
      <w:start w:val="51"/>
      <w:numFmt w:val="decimal"/>
      <w:pStyle w:val="PSNumHeading"/>
      <w:lvlText w:val="%1."/>
      <w:lvlJc w:val="left"/>
      <w:pPr>
        <w:ind w:left="576" w:hanging="576"/>
      </w:pPr>
      <w:rPr>
        <w:rFonts w:hint="default"/>
      </w:rPr>
    </w:lvl>
    <w:lvl w:ilvl="1">
      <w:start w:val="1"/>
      <w:numFmt w:val="lowerLetter"/>
      <w:lvlText w:val="%2)"/>
      <w:lvlJc w:val="left"/>
      <w:pPr>
        <w:ind w:left="540" w:hanging="360"/>
      </w:pPr>
      <w:rPr>
        <w:rFonts w:hint="default"/>
      </w:rPr>
    </w:lvl>
    <w:lvl w:ilvl="2">
      <w:start w:val="1"/>
      <w:numFmt w:val="lowerRoman"/>
      <w:lvlText w:val="%3)"/>
      <w:lvlJc w:val="left"/>
      <w:pPr>
        <w:ind w:left="900" w:hanging="36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980" w:hanging="360"/>
      </w:pPr>
      <w:rPr>
        <w:rFonts w:hint="default"/>
      </w:rPr>
    </w:lvl>
    <w:lvl w:ilvl="6">
      <w:start w:val="1"/>
      <w:numFmt w:val="decimal"/>
      <w:lvlText w:val="%7."/>
      <w:lvlJc w:val="left"/>
      <w:pPr>
        <w:ind w:left="2340" w:hanging="360"/>
      </w:pPr>
      <w:rPr>
        <w:rFonts w:hint="default"/>
      </w:rPr>
    </w:lvl>
    <w:lvl w:ilvl="7">
      <w:start w:val="1"/>
      <w:numFmt w:val="lowerLetter"/>
      <w:lvlText w:val="%8."/>
      <w:lvlJc w:val="left"/>
      <w:pPr>
        <w:ind w:left="2700" w:hanging="360"/>
      </w:pPr>
      <w:rPr>
        <w:rFonts w:hint="default"/>
      </w:rPr>
    </w:lvl>
    <w:lvl w:ilvl="8">
      <w:start w:val="1"/>
      <w:numFmt w:val="lowerRoman"/>
      <w:lvlText w:val="%9."/>
      <w:lvlJc w:val="left"/>
      <w:pPr>
        <w:ind w:left="3060" w:hanging="360"/>
      </w:pPr>
      <w:rPr>
        <w:rFonts w:hint="default"/>
      </w:rPr>
    </w:lvl>
  </w:abstractNum>
  <w:abstractNum w:abstractNumId="13"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5C755D2"/>
    <w:multiLevelType w:val="hybridMultilevel"/>
    <w:tmpl w:val="C6A64CE0"/>
    <w:lvl w:ilvl="0" w:tplc="80247BE0">
      <w:start w:val="1"/>
      <w:numFmt w:val="decimal"/>
      <w:lvlText w:val="%1."/>
      <w:lvlJc w:val="left"/>
      <w:pPr>
        <w:ind w:left="720" w:hanging="360"/>
      </w:pPr>
      <w:rPr>
        <w:rFonts w:ascii="Arial" w:eastAsia="MS Mincho" w:hAnsi="Arial" w:cs="Arial"/>
      </w:rPr>
    </w:lvl>
    <w:lvl w:ilvl="1" w:tplc="04090011">
      <w:start w:val="1"/>
      <w:numFmt w:val="decimal"/>
      <w:lvlText w:val="%2)"/>
      <w:lvlJc w:val="left"/>
      <w:pPr>
        <w:ind w:left="1440" w:hanging="360"/>
      </w:pPr>
    </w:lvl>
    <w:lvl w:ilvl="2" w:tplc="E0F488F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1510C"/>
    <w:multiLevelType w:val="hybridMultilevel"/>
    <w:tmpl w:val="EE3E7BFC"/>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D76BF"/>
    <w:multiLevelType w:val="hybridMultilevel"/>
    <w:tmpl w:val="509CE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E251F"/>
    <w:multiLevelType w:val="hybridMultilevel"/>
    <w:tmpl w:val="E62E057C"/>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A8125752">
      <w:start w:val="5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4"/>
  </w:num>
  <w:num w:numId="4">
    <w:abstractNumId w:val="11"/>
  </w:num>
  <w:num w:numId="5">
    <w:abstractNumId w:val="5"/>
  </w:num>
  <w:num w:numId="6">
    <w:abstractNumId w:val="14"/>
  </w:num>
  <w:num w:numId="7">
    <w:abstractNumId w:val="9"/>
  </w:num>
  <w:num w:numId="8">
    <w:abstractNumId w:val="6"/>
  </w:num>
  <w:num w:numId="9">
    <w:abstractNumId w:val="1"/>
  </w:num>
  <w:num w:numId="10">
    <w:abstractNumId w:val="8"/>
  </w:num>
  <w:num w:numId="11">
    <w:abstractNumId w:val="3"/>
  </w:num>
  <w:num w:numId="12">
    <w:abstractNumId w:val="13"/>
  </w:num>
  <w:num w:numId="13">
    <w:abstractNumId w:val="19"/>
  </w:num>
  <w:num w:numId="14">
    <w:abstractNumId w:val="10"/>
  </w:num>
  <w:num w:numId="15">
    <w:abstractNumId w:val="7"/>
  </w:num>
  <w:num w:numId="16">
    <w:abstractNumId w:val="12"/>
  </w:num>
  <w:num w:numId="17">
    <w:abstractNumId w:val="18"/>
  </w:num>
  <w:num w:numId="18">
    <w:abstractNumId w:val="16"/>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25F"/>
    <w:rsid w:val="001739B8"/>
    <w:rsid w:val="00187140"/>
    <w:rsid w:val="00196CC0"/>
    <w:rsid w:val="0019704C"/>
    <w:rsid w:val="001A4F9B"/>
    <w:rsid w:val="00202E37"/>
    <w:rsid w:val="0020589D"/>
    <w:rsid w:val="00206A95"/>
    <w:rsid w:val="0025187C"/>
    <w:rsid w:val="00260DA0"/>
    <w:rsid w:val="00275A58"/>
    <w:rsid w:val="00291E2A"/>
    <w:rsid w:val="002A617D"/>
    <w:rsid w:val="002B190C"/>
    <w:rsid w:val="002E3E1F"/>
    <w:rsid w:val="002F2B6B"/>
    <w:rsid w:val="00324151"/>
    <w:rsid w:val="00344D68"/>
    <w:rsid w:val="003E024F"/>
    <w:rsid w:val="003E4E84"/>
    <w:rsid w:val="003E6C08"/>
    <w:rsid w:val="00413DA7"/>
    <w:rsid w:val="004209B7"/>
    <w:rsid w:val="004B543A"/>
    <w:rsid w:val="00506D5C"/>
    <w:rsid w:val="00552EFB"/>
    <w:rsid w:val="00572EFD"/>
    <w:rsid w:val="00573ED0"/>
    <w:rsid w:val="005B3DEB"/>
    <w:rsid w:val="005C5F79"/>
    <w:rsid w:val="005F0D6B"/>
    <w:rsid w:val="005F20BC"/>
    <w:rsid w:val="006157BA"/>
    <w:rsid w:val="00617E36"/>
    <w:rsid w:val="006224DD"/>
    <w:rsid w:val="00623E6B"/>
    <w:rsid w:val="00657CD7"/>
    <w:rsid w:val="00674611"/>
    <w:rsid w:val="00675C15"/>
    <w:rsid w:val="006A0226"/>
    <w:rsid w:val="006B003A"/>
    <w:rsid w:val="006E4F58"/>
    <w:rsid w:val="006F3B5E"/>
    <w:rsid w:val="007145B5"/>
    <w:rsid w:val="007412B2"/>
    <w:rsid w:val="00757882"/>
    <w:rsid w:val="007645D6"/>
    <w:rsid w:val="00782C06"/>
    <w:rsid w:val="0079565B"/>
    <w:rsid w:val="007A3C99"/>
    <w:rsid w:val="007D3AD3"/>
    <w:rsid w:val="007E17C8"/>
    <w:rsid w:val="007F1C3A"/>
    <w:rsid w:val="007F284D"/>
    <w:rsid w:val="007F468B"/>
    <w:rsid w:val="00833B43"/>
    <w:rsid w:val="008C1ADE"/>
    <w:rsid w:val="00902E76"/>
    <w:rsid w:val="00922B2E"/>
    <w:rsid w:val="00932231"/>
    <w:rsid w:val="00946970"/>
    <w:rsid w:val="00960CD4"/>
    <w:rsid w:val="00965AA0"/>
    <w:rsid w:val="009C3620"/>
    <w:rsid w:val="00AA11FE"/>
    <w:rsid w:val="00AA3DDD"/>
    <w:rsid w:val="00AA6E84"/>
    <w:rsid w:val="00AD2E37"/>
    <w:rsid w:val="00AD39F3"/>
    <w:rsid w:val="00AF3B2B"/>
    <w:rsid w:val="00B50BE2"/>
    <w:rsid w:val="00C05BE2"/>
    <w:rsid w:val="00C27C59"/>
    <w:rsid w:val="00C82C5D"/>
    <w:rsid w:val="00C90C77"/>
    <w:rsid w:val="00C96F20"/>
    <w:rsid w:val="00D0184B"/>
    <w:rsid w:val="00D225EE"/>
    <w:rsid w:val="00D4443D"/>
    <w:rsid w:val="00D515C5"/>
    <w:rsid w:val="00D574E0"/>
    <w:rsid w:val="00DA3AAA"/>
    <w:rsid w:val="00E04386"/>
    <w:rsid w:val="00E10ABB"/>
    <w:rsid w:val="00E80072"/>
    <w:rsid w:val="00E93E1F"/>
    <w:rsid w:val="00EB48BE"/>
    <w:rsid w:val="00EF309B"/>
    <w:rsid w:val="00EF46E4"/>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D65D"/>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5A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15"/>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14"/>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NumHeading">
    <w:name w:val="PSNumHeading"/>
    <w:basedOn w:val="Heading1"/>
    <w:autoRedefine/>
    <w:qFormat/>
    <w:rsid w:val="00965AA0"/>
    <w:pPr>
      <w:keepLines w:val="0"/>
      <w:numPr>
        <w:numId w:val="16"/>
      </w:numPr>
      <w:spacing w:line="240" w:lineRule="auto"/>
    </w:pPr>
    <w:rPr>
      <w:rFonts w:ascii="Arial" w:eastAsia="MS Mincho" w:hAnsi="Arial" w:cs="Arial"/>
      <w:b/>
      <w:bCs/>
      <w:color w:val="auto"/>
      <w:kern w:val="32"/>
      <w:sz w:val="24"/>
      <w:lang w:eastAsia="ja-JP"/>
    </w:rPr>
  </w:style>
  <w:style w:type="paragraph" w:customStyle="1" w:styleId="PSBody1">
    <w:name w:val="PSBody1"/>
    <w:autoRedefine/>
    <w:rsid w:val="00965AA0"/>
    <w:pPr>
      <w:spacing w:before="240" w:after="0" w:line="240" w:lineRule="auto"/>
      <w:contextualSpacing/>
    </w:pPr>
    <w:rPr>
      <w:rFonts w:ascii="Arial" w:eastAsia="MS Mincho" w:hAnsi="Arial" w:cs="Arial"/>
      <w:bCs/>
      <w:sz w:val="20"/>
      <w:szCs w:val="26"/>
      <w:lang w:eastAsia="ja-JP"/>
    </w:rPr>
  </w:style>
  <w:style w:type="character" w:customStyle="1" w:styleId="Heading1Char">
    <w:name w:val="Heading 1 Char"/>
    <w:basedOn w:val="DefaultParagraphFont"/>
    <w:link w:val="Heading1"/>
    <w:uiPriority w:val="9"/>
    <w:rsid w:val="00965AA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ov/fssa/4979.htm" TargetMode="External"/><Relationship Id="rId13" Type="http://schemas.openxmlformats.org/officeDocument/2006/relationships/hyperlink" Target="https://www.in.gov/iot/2394.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www.in.gov/idoa/mwbe/payaudit.htm" TargetMode="External"/><Relationship Id="rId17" Type="http://schemas.openxmlformats.org/officeDocument/2006/relationships/hyperlink" Target="https://hr85.gmis.in.gov/psp/pa91prd/EMPLOYEE/EMPL/h/?tab=PAPP_GUEST" TargetMode="External"/><Relationship Id="rId2" Type="http://schemas.openxmlformats.org/officeDocument/2006/relationships/styles" Target="styles.xml"/><Relationship Id="rId16" Type="http://schemas.openxmlformats.org/officeDocument/2006/relationships/hyperlink" Target="http://www.in.gov/idoa/mwbe/payaudi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anaveteranspreference@idoa.IN.gov" TargetMode="External"/><Relationship Id="rId5" Type="http://schemas.openxmlformats.org/officeDocument/2006/relationships/footnotes" Target="footnote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12226</Words>
  <Characters>69689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81752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Tom Arnold</cp:lastModifiedBy>
  <cp:revision>2</cp:revision>
  <dcterms:created xsi:type="dcterms:W3CDTF">2019-06-05T04:06:00Z</dcterms:created>
  <dcterms:modified xsi:type="dcterms:W3CDTF">2019-06-05T04:06:00Z</dcterms:modified>
</cp:coreProperties>
</file>